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BAA5D">
      <w:pPr>
        <w:pStyle w:val="18"/>
        <w:rPr>
          <w:rFonts w:ascii="Calibri" w:hAnsi="Calibri" w:cs="Calibri"/>
          <w:lang w:val="es-ES"/>
        </w:rPr>
      </w:pPr>
      <w:r>
        <w:rPr>
          <w:rFonts w:ascii="Calibri" w:hAnsi="Calibri" w:cs="Calibri"/>
          <w:lang w:val="es-ES"/>
        </w:rPr>
        <w:t>PETICIÓN AL PARLAMENTO EUROPEO:</w:t>
      </w:r>
    </w:p>
    <w:p w14:paraId="3DF68AFA">
      <w:pPr>
        <w:pStyle w:val="18"/>
        <w:rPr>
          <w:rFonts w:ascii="Calibri" w:hAnsi="Calibri" w:cs="Calibri"/>
          <w:lang w:val="es-ES"/>
        </w:rPr>
      </w:pPr>
      <w:r>
        <w:rPr>
          <w:rFonts w:ascii="Calibri" w:hAnsi="Calibri" w:cs="Calibri"/>
          <w:lang w:val="es-ES"/>
        </w:rPr>
        <w:t xml:space="preserve"> REVERSIÓN LIBERALIZACIÓN UE DEL SECTOR FERROVIARIO</w:t>
      </w:r>
      <w:bookmarkStart w:id="0" w:name="_GoBack"/>
      <w:bookmarkEnd w:id="0"/>
    </w:p>
    <w:p w14:paraId="7BE06337">
      <w:pPr>
        <w:rPr>
          <w:lang w:val="es-ES"/>
        </w:rPr>
      </w:pPr>
    </w:p>
    <w:p w14:paraId="363E66AC">
      <w:pPr>
        <w:rPr>
          <w:rFonts w:ascii="Calibri" w:hAnsi="Calibri" w:cs="Calibri"/>
          <w:lang w:val="es-ES"/>
        </w:rPr>
      </w:pPr>
      <w:r>
        <w:rPr>
          <w:rFonts w:ascii="Calibri" w:hAnsi="Calibri" w:cs="Calibri"/>
          <w:lang w:val="es-ES"/>
        </w:rPr>
        <w:t>Comisión de Peticiones (PETI)</w:t>
      </w:r>
    </w:p>
    <w:p w14:paraId="29E7027E">
      <w:pPr>
        <w:rPr>
          <w:rFonts w:ascii="Calibri" w:hAnsi="Calibri" w:cs="Calibri"/>
          <w:lang w:val="es-ES"/>
        </w:rPr>
      </w:pPr>
    </w:p>
    <w:p w14:paraId="12F5A3C3">
      <w:pPr>
        <w:rPr>
          <w:rFonts w:ascii="Calibri" w:hAnsi="Calibri" w:cs="Calibri"/>
          <w:b/>
          <w:bCs/>
          <w:lang w:val="es-ES"/>
        </w:rPr>
      </w:pPr>
      <w:r>
        <w:rPr>
          <w:rFonts w:ascii="Calibri" w:hAnsi="Calibri" w:cs="Calibri"/>
          <w:lang w:val="es-ES"/>
        </w:rPr>
        <w:t xml:space="preserve">ASUNTO: </w:t>
      </w:r>
      <w:r>
        <w:rPr>
          <w:rFonts w:ascii="Calibri" w:hAnsi="Calibri" w:cs="Calibri"/>
          <w:b/>
          <w:bCs/>
          <w:lang w:val="es-ES"/>
        </w:rPr>
        <w:t>Revisión del modelo europeo de liberalización ferroviaria, evaluación de sus consecuencias sobre la seguridad y el servicio público y medidas para garantizar sistemas ferroviarios públicos, integrados y seguros.</w:t>
      </w:r>
    </w:p>
    <w:p w14:paraId="1D6950DE">
      <w:pPr>
        <w:rPr>
          <w:rFonts w:ascii="Calibri" w:hAnsi="Calibri" w:cs="Calibri"/>
          <w:lang w:val="es-ES"/>
        </w:rPr>
      </w:pPr>
    </w:p>
    <w:p w14:paraId="0C926076">
      <w:pPr>
        <w:pStyle w:val="2"/>
        <w:rPr>
          <w:rFonts w:ascii="Calibri" w:hAnsi="Calibri" w:cs="Calibri"/>
          <w:lang w:val="es-ES"/>
        </w:rPr>
      </w:pPr>
      <w:r>
        <w:rPr>
          <w:rFonts w:ascii="Calibri" w:hAnsi="Calibri" w:cs="Calibri"/>
          <w:lang w:val="es-ES"/>
        </w:rPr>
        <w:t>I. Objeto de la petición</w:t>
      </w:r>
    </w:p>
    <w:p w14:paraId="668B4EA1">
      <w:pPr>
        <w:rPr>
          <w:rFonts w:ascii="Calibri" w:hAnsi="Calibri" w:cs="Calibri"/>
          <w:lang w:val="es-ES"/>
        </w:rPr>
      </w:pPr>
      <w:r>
        <w:rPr>
          <w:rFonts w:ascii="Calibri" w:hAnsi="Calibri" w:cs="Calibri"/>
          <w:lang w:val="es-ES"/>
        </w:rPr>
        <w:t>Al amparo del artículo 227 del Tratado de Funcionamiento de la Unión Europea (TFUE), se solicita el examen de los efectos de las políticas europeas de liberalización ferroviaria y la revisión del marco normativo que ha favorecido la apertura de los mercados nacionales a la competencia y la fragmentación organizativa de los sistemas ferroviarios.</w:t>
      </w:r>
    </w:p>
    <w:p w14:paraId="7B676DAE">
      <w:pPr>
        <w:rPr>
          <w:rFonts w:ascii="Calibri" w:hAnsi="Calibri" w:cs="Calibri"/>
          <w:lang w:val="es-ES"/>
        </w:rPr>
      </w:pPr>
    </w:p>
    <w:p w14:paraId="0954666F">
      <w:pPr>
        <w:rPr>
          <w:rFonts w:ascii="Calibri" w:hAnsi="Calibri" w:cs="Calibri"/>
          <w:lang w:val="es-ES"/>
        </w:rPr>
      </w:pPr>
      <w:r>
        <w:rPr>
          <w:rFonts w:ascii="Calibri" w:hAnsi="Calibri" w:cs="Calibri"/>
          <w:lang w:val="es-ES"/>
        </w:rPr>
        <w:t>El ferrocarril constituye un servicio público esencial para la seguridad de las personas, el derecho a la movilidad, la cohesión social y territorial y la transición ecológica. Su organización no debería quedar subordinada a la rentabilidad empresarial ni a una competencia que desplace las necesidades de inversión, mantenimiento, empleo y planificación pública.</w:t>
      </w:r>
    </w:p>
    <w:p w14:paraId="55168F8D">
      <w:pPr>
        <w:rPr>
          <w:rFonts w:ascii="Calibri" w:hAnsi="Calibri" w:cs="Calibri"/>
          <w:lang w:val="es-ES"/>
        </w:rPr>
      </w:pPr>
    </w:p>
    <w:p w14:paraId="05EA720A">
      <w:pPr>
        <w:rPr>
          <w:rFonts w:ascii="Calibri" w:hAnsi="Calibri" w:cs="Calibri"/>
          <w:lang w:val="es-ES"/>
        </w:rPr>
      </w:pPr>
      <w:r>
        <w:rPr>
          <w:rFonts w:ascii="Calibri" w:hAnsi="Calibri" w:cs="Calibri"/>
          <w:lang w:val="es-ES"/>
        </w:rPr>
        <w:t>Se requiere una evaluación independiente de las consecuencias estructurales del modelo privatizador promovido por la Unión Europea, la identificación de eventuales consecuencias y deficiencias regulatorias y el examen de alternativas basadas en la titularidad pública, la gestión integrada y la cooperación.</w:t>
      </w:r>
    </w:p>
    <w:p w14:paraId="0E25A893">
      <w:pPr>
        <w:pStyle w:val="2"/>
        <w:rPr>
          <w:rFonts w:ascii="Calibri" w:hAnsi="Calibri" w:cs="Calibri"/>
          <w:lang w:val="es-ES"/>
        </w:rPr>
      </w:pPr>
      <w:r>
        <w:rPr>
          <w:rFonts w:ascii="Calibri" w:hAnsi="Calibri" w:cs="Calibri"/>
          <w:lang w:val="es-ES"/>
        </w:rPr>
        <w:t>II. Antecedentes: transformación del marco ferroviario europeo</w:t>
      </w:r>
    </w:p>
    <w:p w14:paraId="55C0D90E">
      <w:pPr>
        <w:rPr>
          <w:rFonts w:ascii="Calibri" w:hAnsi="Calibri" w:cs="Calibri"/>
          <w:lang w:val="es-ES"/>
        </w:rPr>
      </w:pPr>
      <w:r>
        <w:rPr>
          <w:rFonts w:ascii="Calibri" w:hAnsi="Calibri" w:cs="Calibri"/>
          <w:lang w:val="es-ES"/>
        </w:rPr>
        <w:t>La Directiva 91/440/CEE inició la reorganización del sector mediante la separación contable de infraestructuras y servicios y el reconocimiento de determinados derechos de acceso. El primer paquete ferroviario de 2001 —Directivas 2001/12/CE, 2001/13/CE y 2001/14/CE— profundizó en licencias, cánones y acceso a la red. El segundo paquete, de 2004, amplió la apertura del transporte de mercancías e incorporó disposiciones sobre seguridad e interoperabilidad. El tercero, de 2007, extendió la apertura a los servicios internacionales de viajeros y desarrolló las obligaciones de servicio público y los derechos de los pasajeros.</w:t>
      </w:r>
    </w:p>
    <w:p w14:paraId="1440E016">
      <w:pPr>
        <w:rPr>
          <w:rFonts w:ascii="Calibri" w:hAnsi="Calibri" w:cs="Calibri"/>
          <w:lang w:val="es-ES"/>
        </w:rPr>
      </w:pPr>
    </w:p>
    <w:p w14:paraId="6253DD21">
      <w:pPr>
        <w:rPr>
          <w:rFonts w:ascii="Calibri" w:hAnsi="Calibri" w:cs="Calibri"/>
          <w:lang w:val="es-ES"/>
        </w:rPr>
      </w:pPr>
      <w:r>
        <w:rPr>
          <w:rFonts w:ascii="Calibri" w:hAnsi="Calibri" w:cs="Calibri"/>
          <w:lang w:val="es-ES"/>
        </w:rPr>
        <w:t>La Directiva 2012/34/UE consolidó el marco del espacio ferroviario europeo único. El cuarto paquete ferroviario, aprobado en 2016, abrió una nueva fase de competencia en los servicios nacionales de viajeros, especialmente mediante la Directiva (UE) 2016/2370 y el Reglamento (UE) 2016/2338, que modificó el Reglamento (CE) 1370/2007. Su pilar técnico incluyó las Directivas (UE) 2016/797 y 2016/798 y el Reglamento (UE) 2016/796.</w:t>
      </w:r>
    </w:p>
    <w:p w14:paraId="0DAC82BA">
      <w:pPr>
        <w:rPr>
          <w:rFonts w:ascii="Calibri" w:hAnsi="Calibri" w:cs="Calibri"/>
          <w:lang w:val="es-ES"/>
        </w:rPr>
      </w:pPr>
    </w:p>
    <w:p w14:paraId="46571C2C">
      <w:pPr>
        <w:rPr>
          <w:rFonts w:ascii="Calibri" w:hAnsi="Calibri" w:cs="Calibri"/>
          <w:lang w:val="es-ES"/>
        </w:rPr>
      </w:pPr>
      <w:r>
        <w:rPr>
          <w:rFonts w:ascii="Calibri" w:hAnsi="Calibri" w:cs="Calibri"/>
          <w:lang w:val="es-ES"/>
        </w:rPr>
        <w:t>Se solicita examinar si este diseño legislativo ha garantizado adecuadamente la seguridad, el mantenimiento, la calidad, el empleo y la cohesión territorial, así como determinar qué alternativas organizativas y legislativas pueden reforzar la prestación pública directa.</w:t>
      </w:r>
    </w:p>
    <w:p w14:paraId="16E08E04">
      <w:pPr>
        <w:pStyle w:val="2"/>
        <w:rPr>
          <w:rFonts w:ascii="Calibri" w:hAnsi="Calibri" w:cs="Calibri"/>
          <w:lang w:val="es-ES"/>
        </w:rPr>
      </w:pPr>
      <w:r>
        <w:rPr>
          <w:rFonts w:ascii="Calibri" w:hAnsi="Calibri" w:cs="Calibri"/>
          <w:lang w:val="es-ES"/>
        </w:rPr>
        <w:t>III. Seguridad, mantenimiento y fragmentación</w:t>
      </w:r>
    </w:p>
    <w:p w14:paraId="1465892C">
      <w:pPr>
        <w:rPr>
          <w:rFonts w:ascii="Calibri" w:hAnsi="Calibri" w:cs="Calibri"/>
          <w:lang w:val="es-ES"/>
        </w:rPr>
      </w:pPr>
      <w:r>
        <w:rPr>
          <w:rFonts w:ascii="Calibri" w:hAnsi="Calibri" w:cs="Calibri"/>
          <w:lang w:val="es-ES"/>
        </w:rPr>
        <w:t xml:space="preserve">Los accidentes ferroviarios de Adamuz (enero de 2026) y Urda (octubre de 2026), en España; Tempi (Grecia, 28 de febrero de 2023), con 57 personas fallecidas; y Pardubice (Chequia, 5 de junio de 2024), con cuatro fallecimientos, han reabierto debates sobre seguridad, mantenimiento, coordinación y supervisión. </w:t>
      </w:r>
    </w:p>
    <w:p w14:paraId="3FB4F49D">
      <w:pPr>
        <w:rPr>
          <w:rFonts w:ascii="Calibri" w:hAnsi="Calibri" w:cs="Calibri"/>
          <w:lang w:val="es-ES"/>
        </w:rPr>
      </w:pPr>
      <w:r>
        <w:rPr>
          <w:rFonts w:ascii="Calibri" w:hAnsi="Calibri" w:cs="Calibri"/>
          <w:lang w:val="es-ES"/>
        </w:rPr>
        <w:t>Se añaden los problemas de capacidad, puntualidad y calidad de servicio observados en otros sistemas ferroviarios europeos, entre ellos Alemania y Bélgica.</w:t>
      </w:r>
    </w:p>
    <w:p w14:paraId="58CDC60D">
      <w:pPr>
        <w:rPr>
          <w:rFonts w:ascii="Calibri" w:hAnsi="Calibri" w:cs="Calibri"/>
          <w:lang w:val="es-ES"/>
        </w:rPr>
      </w:pPr>
    </w:p>
    <w:p w14:paraId="1C18F79D">
      <w:pPr>
        <w:rPr>
          <w:rFonts w:ascii="Calibri" w:hAnsi="Calibri" w:cs="Calibri"/>
          <w:lang w:val="es-ES"/>
        </w:rPr>
      </w:pPr>
      <w:r>
        <w:rPr>
          <w:rFonts w:ascii="Calibri" w:hAnsi="Calibri" w:cs="Calibri"/>
          <w:lang w:val="es-ES"/>
        </w:rPr>
        <w:t>Resulta necesario analizar si la fragmentación organizativa, la presión para reducir costes, las externalizaciones, los mecanismos de financiación y los incentivos derivados de la competencia afectan a la prevención de riesgos, la coordinación de responsabilidades y la conservación de las infraestructuras.</w:t>
      </w:r>
    </w:p>
    <w:p w14:paraId="1DDC02A9">
      <w:pPr>
        <w:rPr>
          <w:rFonts w:ascii="Calibri" w:hAnsi="Calibri" w:cs="Calibri"/>
          <w:lang w:val="es-ES"/>
        </w:rPr>
      </w:pPr>
    </w:p>
    <w:p w14:paraId="04E00DF1">
      <w:pPr>
        <w:rPr>
          <w:rFonts w:ascii="Calibri" w:hAnsi="Calibri" w:cs="Calibri"/>
          <w:lang w:val="es-ES"/>
        </w:rPr>
      </w:pPr>
      <w:r>
        <w:rPr>
          <w:rFonts w:ascii="Calibri" w:hAnsi="Calibri" w:cs="Calibri"/>
          <w:lang w:val="es-ES"/>
        </w:rPr>
        <w:t>Se requiere una evaluación de la efectividad del marco europeo de seguridad, de la suficiencia de recursos y de la coordinación entre gestores, operadores, empresas contratistas, autoridades de seguridad y organismos de investigación.</w:t>
      </w:r>
    </w:p>
    <w:p w14:paraId="22838A1B">
      <w:pPr>
        <w:pStyle w:val="2"/>
        <w:rPr>
          <w:rFonts w:ascii="Calibri" w:hAnsi="Calibri" w:cs="Calibri"/>
          <w:lang w:val="es-ES"/>
        </w:rPr>
      </w:pPr>
      <w:r>
        <w:rPr>
          <w:rFonts w:ascii="Calibri" w:hAnsi="Calibri" w:cs="Calibri"/>
          <w:lang w:val="es-ES"/>
        </w:rPr>
        <w:t xml:space="preserve">IV. Servicio Público </w:t>
      </w:r>
    </w:p>
    <w:p w14:paraId="2B55E016">
      <w:pPr>
        <w:rPr>
          <w:rFonts w:ascii="Calibri" w:hAnsi="Calibri" w:cs="Calibri"/>
          <w:lang w:val="es-ES"/>
        </w:rPr>
      </w:pPr>
      <w:r>
        <w:rPr>
          <w:rFonts w:ascii="Calibri" w:hAnsi="Calibri" w:cs="Calibri"/>
          <w:lang w:val="es-ES"/>
        </w:rPr>
        <w:t>La apertura a la competencia debe evaluarse más allá de los precios de determinadas rutas o de los resultados comerciales de los operadores. La movilidad cotidiana, las conexiones regionales y rurales, los servicios de cercanías y la accesibilidad universal responden a necesidades colectivas que no pueden medirse exclusivamente por su rentabilidad.</w:t>
      </w:r>
    </w:p>
    <w:p w14:paraId="6D2C82FE">
      <w:pPr>
        <w:rPr>
          <w:rFonts w:ascii="Calibri" w:hAnsi="Calibri" w:cs="Calibri"/>
          <w:lang w:val="es-ES"/>
        </w:rPr>
      </w:pPr>
    </w:p>
    <w:p w14:paraId="18828143">
      <w:pPr>
        <w:rPr>
          <w:rFonts w:ascii="Calibri" w:hAnsi="Calibri" w:cs="Calibri"/>
          <w:lang w:val="es-ES"/>
        </w:rPr>
      </w:pPr>
      <w:r>
        <w:rPr>
          <w:rFonts w:ascii="Calibri" w:hAnsi="Calibri" w:cs="Calibri"/>
          <w:lang w:val="es-ES"/>
        </w:rPr>
        <w:t>Se solicita una evaluación comparada de la evolución de la inversión en conservación y renovación; de la financiación de los gestores de infraestructuras y los cánones de acceso; de las plantillas, condiciones laborales, formación y externalización; de la asequibilidad, accesibilidad, puntualidad y continuidad del servicio; y de la cobertura territorial y transfronteriza.</w:t>
      </w:r>
    </w:p>
    <w:p w14:paraId="61A5B5F0">
      <w:pPr>
        <w:rPr>
          <w:rFonts w:ascii="Calibri" w:hAnsi="Calibri" w:cs="Calibri"/>
          <w:lang w:val="es-ES"/>
        </w:rPr>
      </w:pPr>
      <w:r>
        <w:rPr>
          <w:rFonts w:ascii="Calibri" w:hAnsi="Calibri" w:cs="Calibri"/>
          <w:lang w:val="es-ES"/>
        </w:rPr>
        <w:t>La política ferroviaria europea debe examinarse asimismo a la luz de la cohesión económica, social y territorial y de los objetivos de descarbonización del transporte.</w:t>
      </w:r>
    </w:p>
    <w:p w14:paraId="3F2B95A2">
      <w:pPr>
        <w:rPr>
          <w:rFonts w:ascii="Calibri" w:hAnsi="Calibri" w:cs="Calibri"/>
          <w:lang w:val="es-ES"/>
        </w:rPr>
      </w:pPr>
    </w:p>
    <w:p w14:paraId="4AA82464">
      <w:pPr>
        <w:rPr>
          <w:rFonts w:ascii="Calibri" w:hAnsi="Calibri" w:cs="Calibri"/>
          <w:lang w:val="es-ES"/>
        </w:rPr>
      </w:pPr>
      <w:r>
        <w:rPr>
          <w:rFonts w:ascii="Calibri" w:hAnsi="Calibri" w:cs="Calibri"/>
          <w:lang w:val="es-ES"/>
        </w:rPr>
        <w:t>Se requiere por ello revisar las normas sectoriales que condicionan el acceso al mercado, la adjudicación de servicios y la organización ferroviaria y se solicita examinar especialmente la Directiva 2012/34/UE, modificada por la Directiva (UE) 2016/2370, y el Reglamento (CE) 1370/2007, modificado por el Reglamento (UE) 2016/2338, con el fin de ampliar las posibilidades de gestión pública directa, reforzar las obligaciones de servicio público y permitir estructuras públicas integradas. Estas reformas deberán mantener una supervisión de seguridad independiente, la interoperabilidad y la cooperación transfronteriza.</w:t>
      </w:r>
    </w:p>
    <w:p w14:paraId="758DB1DE">
      <w:pPr>
        <w:rPr>
          <w:rFonts w:ascii="Calibri" w:hAnsi="Calibri" w:cs="Calibri"/>
          <w:lang w:val="es-ES"/>
        </w:rPr>
      </w:pPr>
    </w:p>
    <w:p w14:paraId="77ED5B30">
      <w:pPr>
        <w:rPr>
          <w:rFonts w:ascii="Calibri" w:hAnsi="Calibri" w:cs="Calibri"/>
          <w:lang w:val="es-ES"/>
        </w:rPr>
      </w:pPr>
      <w:r>
        <w:rPr>
          <w:rFonts w:ascii="Calibri" w:hAnsi="Calibri" w:cs="Calibri"/>
          <w:lang w:val="es-ES"/>
        </w:rPr>
        <w:t xml:space="preserve">En España, la separación entre Renfe y Adif y la apertura progresiva de servicios a la competencia ilustran la transformación organizativa del sistema. </w:t>
      </w:r>
    </w:p>
    <w:p w14:paraId="3A3E717B">
      <w:pPr>
        <w:rPr>
          <w:rFonts w:ascii="Calibri" w:hAnsi="Calibri" w:cs="Calibri"/>
          <w:lang w:val="es-ES"/>
        </w:rPr>
      </w:pPr>
    </w:p>
    <w:p w14:paraId="2F88F316">
      <w:pPr>
        <w:rPr>
          <w:rFonts w:ascii="Calibri" w:hAnsi="Calibri" w:cs="Calibri"/>
          <w:lang w:val="es-ES"/>
        </w:rPr>
      </w:pPr>
      <w:r>
        <w:rPr>
          <w:rFonts w:ascii="Calibri" w:hAnsi="Calibri" w:cs="Calibri"/>
          <w:lang w:val="es-ES"/>
        </w:rPr>
        <w:t>Se plantea la reunificación de ambas entidades en un modelo público integrado, la recuperación de la gestión directa del mantenimiento, la reversión de externalizaciones, el refuerzo de las plantillas y una inversión pública sostenida, especialmente en cercanías.</w:t>
      </w:r>
    </w:p>
    <w:p w14:paraId="1E7B5800">
      <w:pPr>
        <w:rPr>
          <w:rFonts w:ascii="Calibri" w:hAnsi="Calibri" w:cs="Calibri"/>
          <w:lang w:val="es-ES"/>
        </w:rPr>
      </w:pPr>
    </w:p>
    <w:p w14:paraId="33E255E7">
      <w:pPr>
        <w:rPr>
          <w:rFonts w:ascii="Calibri" w:hAnsi="Calibri" w:cs="Calibri"/>
          <w:lang w:val="es-ES"/>
        </w:rPr>
      </w:pPr>
      <w:r>
        <w:rPr>
          <w:rFonts w:ascii="Calibri" w:hAnsi="Calibri" w:cs="Calibri"/>
          <w:lang w:val="es-ES"/>
        </w:rPr>
        <w:t>Se solicita aclarar el margen jurídico existente en el Derecho de la Unión para desarrollar estas opciones y determinar qué reformas permitirían ampliarlo, sin menoscabo de las garantías de seguridad, transparencia y control democrático.</w:t>
      </w:r>
    </w:p>
    <w:p w14:paraId="2AD21A35">
      <w:pPr>
        <w:pStyle w:val="2"/>
        <w:rPr>
          <w:rFonts w:ascii="Calibri" w:hAnsi="Calibri" w:cs="Calibri"/>
          <w:sz w:val="28"/>
          <w:szCs w:val="28"/>
          <w:lang w:val="es-ES"/>
        </w:rPr>
      </w:pPr>
      <w:r>
        <w:rPr>
          <w:rFonts w:ascii="Calibri" w:hAnsi="Calibri" w:cs="Calibri"/>
          <w:sz w:val="28"/>
          <w:szCs w:val="28"/>
          <w:lang w:val="es-ES"/>
        </w:rPr>
        <w:t>V. Solicitudes a la Comisión de Peticiones</w:t>
      </w:r>
    </w:p>
    <w:p w14:paraId="79E6D763">
      <w:pPr>
        <w:rPr>
          <w:rFonts w:ascii="Calibri" w:hAnsi="Calibri" w:cs="Calibri"/>
          <w:lang w:val="es-ES"/>
        </w:rPr>
      </w:pPr>
    </w:p>
    <w:p w14:paraId="594434A0">
      <w:pPr>
        <w:pStyle w:val="15"/>
        <w:tabs>
          <w:tab w:val="left" w:pos="360"/>
        </w:tabs>
        <w:ind w:left="360" w:hanging="360"/>
        <w:rPr>
          <w:rFonts w:cs="Calibri"/>
          <w:sz w:val="24"/>
          <w:szCs w:val="24"/>
          <w:lang w:val="es-ES"/>
        </w:rPr>
      </w:pPr>
      <w:r>
        <w:rPr>
          <w:rFonts w:cs="Calibri"/>
          <w:b/>
          <w:sz w:val="24"/>
          <w:szCs w:val="24"/>
          <w:lang w:val="es-ES"/>
        </w:rPr>
        <w:t xml:space="preserve">Admisión y examen. </w:t>
      </w:r>
      <w:r>
        <w:rPr>
          <w:rFonts w:cs="Calibri"/>
          <w:sz w:val="24"/>
          <w:szCs w:val="24"/>
          <w:lang w:val="es-ES"/>
        </w:rPr>
        <w:t>Que se admita y examine la presente petición conforme al artículo 227 TFUE y a las normas aplicables del Parlamento Europeo.</w:t>
      </w:r>
    </w:p>
    <w:p w14:paraId="28A3C202">
      <w:pPr>
        <w:pStyle w:val="15"/>
        <w:tabs>
          <w:tab w:val="left" w:pos="360"/>
        </w:tabs>
        <w:ind w:left="360" w:hanging="360"/>
        <w:rPr>
          <w:rFonts w:cs="Calibri"/>
          <w:sz w:val="24"/>
          <w:szCs w:val="24"/>
          <w:lang w:val="es-ES"/>
        </w:rPr>
      </w:pPr>
      <w:r>
        <w:rPr>
          <w:rFonts w:cs="Calibri"/>
          <w:b/>
          <w:sz w:val="24"/>
          <w:szCs w:val="24"/>
          <w:lang w:val="es-ES"/>
        </w:rPr>
        <w:t xml:space="preserve">Respuesta de la Comisión Europea. </w:t>
      </w:r>
      <w:r>
        <w:rPr>
          <w:rFonts w:cs="Calibri"/>
          <w:sz w:val="24"/>
          <w:szCs w:val="24"/>
          <w:lang w:val="es-ES"/>
        </w:rPr>
        <w:t>Que se solicite una respuesta detallada sobre los efectos de los sucesivos paquetes ferroviarios y su adecuación a los objetivos de seguridad, servicio público y cohesión.</w:t>
      </w:r>
    </w:p>
    <w:p w14:paraId="2D567F13">
      <w:pPr>
        <w:pStyle w:val="15"/>
        <w:tabs>
          <w:tab w:val="left" w:pos="360"/>
        </w:tabs>
        <w:ind w:left="360" w:hanging="360"/>
        <w:rPr>
          <w:rFonts w:cs="Calibri"/>
          <w:sz w:val="24"/>
          <w:szCs w:val="24"/>
          <w:lang w:val="es-ES"/>
        </w:rPr>
      </w:pPr>
      <w:r>
        <w:rPr>
          <w:rFonts w:cs="Calibri"/>
          <w:b/>
          <w:sz w:val="24"/>
          <w:szCs w:val="24"/>
          <w:lang w:val="es-ES"/>
        </w:rPr>
        <w:t xml:space="preserve">Evaluación independiente. </w:t>
      </w:r>
      <w:r>
        <w:rPr>
          <w:rFonts w:cs="Calibri"/>
          <w:sz w:val="24"/>
          <w:szCs w:val="24"/>
          <w:lang w:val="es-ES"/>
        </w:rPr>
        <w:t>Que se impulse una evaluación pública, independiente y comparada de las consecuencias de la liberalización sobre mantenimiento, inversión, empleo, derechos laborales, calidad, accesibilidad, seguridad y cohesión territorial.</w:t>
      </w:r>
    </w:p>
    <w:p w14:paraId="6A55C627">
      <w:pPr>
        <w:pStyle w:val="15"/>
        <w:tabs>
          <w:tab w:val="left" w:pos="360"/>
        </w:tabs>
        <w:ind w:left="360" w:hanging="360"/>
        <w:rPr>
          <w:rFonts w:cs="Calibri"/>
          <w:sz w:val="24"/>
          <w:szCs w:val="24"/>
          <w:lang w:val="es-ES"/>
        </w:rPr>
      </w:pPr>
      <w:r>
        <w:rPr>
          <w:rFonts w:cs="Calibri"/>
          <w:b/>
          <w:sz w:val="24"/>
          <w:szCs w:val="24"/>
          <w:lang w:val="es-ES"/>
        </w:rPr>
        <w:t xml:space="preserve">Revisión del cuarto paquete. </w:t>
      </w:r>
      <w:r>
        <w:rPr>
          <w:rFonts w:cs="Calibri"/>
          <w:sz w:val="24"/>
          <w:szCs w:val="24"/>
          <w:lang w:val="es-ES"/>
        </w:rPr>
        <w:t>Que se examine la modificación de la Directiva 2012/34/UE, la Directiva (UE) 2016/2370 y el régimen del Reglamento (CE) 1370/2007, modificado por el Reglamento (UE) 2016/2338, para revisar las obligaciones de apertura a la competencia y ampliar la prestación pública directa.</w:t>
      </w:r>
    </w:p>
    <w:p w14:paraId="779FC698">
      <w:pPr>
        <w:pStyle w:val="15"/>
        <w:tabs>
          <w:tab w:val="left" w:pos="360"/>
        </w:tabs>
        <w:ind w:left="360" w:hanging="360"/>
        <w:rPr>
          <w:rFonts w:cs="Calibri"/>
          <w:sz w:val="24"/>
          <w:szCs w:val="24"/>
          <w:lang w:val="es-ES"/>
        </w:rPr>
      </w:pPr>
      <w:r>
        <w:rPr>
          <w:rFonts w:cs="Calibri"/>
          <w:b/>
          <w:sz w:val="24"/>
          <w:szCs w:val="24"/>
          <w:lang w:val="es-ES"/>
        </w:rPr>
        <w:t xml:space="preserve">Organización pública integrada. </w:t>
      </w:r>
      <w:r>
        <w:rPr>
          <w:rFonts w:cs="Calibri"/>
          <w:sz w:val="24"/>
          <w:szCs w:val="24"/>
          <w:lang w:val="es-ES"/>
        </w:rPr>
        <w:t>Que se aclare el margen jurídico para la integración pública de infraestructuras y servicios, la recuperación de servicios privatizados y la gestión directa del mantenimiento, así como las reformas necesarias.</w:t>
      </w:r>
    </w:p>
    <w:p w14:paraId="47929BCC">
      <w:pPr>
        <w:pStyle w:val="15"/>
        <w:tabs>
          <w:tab w:val="left" w:pos="360"/>
        </w:tabs>
        <w:ind w:left="360" w:hanging="360"/>
        <w:rPr>
          <w:rFonts w:cs="Calibri"/>
          <w:sz w:val="24"/>
          <w:szCs w:val="24"/>
          <w:lang w:val="es-ES"/>
        </w:rPr>
      </w:pPr>
      <w:r>
        <w:rPr>
          <w:rFonts w:cs="Calibri"/>
          <w:b/>
          <w:sz w:val="24"/>
          <w:szCs w:val="24"/>
          <w:lang w:val="es-ES"/>
        </w:rPr>
        <w:t xml:space="preserve">Seguridad y mantenimiento. </w:t>
      </w:r>
      <w:r>
        <w:rPr>
          <w:rFonts w:cs="Calibri"/>
          <w:sz w:val="24"/>
          <w:szCs w:val="24"/>
          <w:lang w:val="es-ES"/>
        </w:rPr>
        <w:t>Que se requiera información a la Comisión Europea y, cuando corresponda, a la Agencia Ferroviaria de la Unión Europea sobre supervisión, coordinación, riesgos organizativos e inversión preventiva, respetando las investigaciones nacionales.</w:t>
      </w:r>
    </w:p>
    <w:p w14:paraId="5E6FAE36">
      <w:pPr>
        <w:pStyle w:val="15"/>
        <w:tabs>
          <w:tab w:val="left" w:pos="360"/>
        </w:tabs>
        <w:ind w:left="360" w:hanging="360"/>
        <w:rPr>
          <w:rFonts w:cs="Calibri"/>
          <w:sz w:val="24"/>
          <w:szCs w:val="24"/>
          <w:lang w:val="es-ES"/>
        </w:rPr>
      </w:pPr>
      <w:r>
        <w:rPr>
          <w:rFonts w:cs="Calibri"/>
          <w:b/>
          <w:sz w:val="24"/>
          <w:szCs w:val="24"/>
          <w:lang w:val="es-ES"/>
        </w:rPr>
        <w:t xml:space="preserve">Derechos laborales. </w:t>
      </w:r>
      <w:r>
        <w:rPr>
          <w:rFonts w:cs="Calibri"/>
          <w:sz w:val="24"/>
          <w:szCs w:val="24"/>
          <w:lang w:val="es-ES"/>
        </w:rPr>
        <w:t>Que se estudien los efectos de la externalización y la competencia en costes sobre plantillas, formación, condiciones laborales y continuidad de funciones esenciales, y posibles garantías europeas adicionales.</w:t>
      </w:r>
    </w:p>
    <w:p w14:paraId="7D7B23EE">
      <w:pPr>
        <w:pStyle w:val="15"/>
        <w:tabs>
          <w:tab w:val="left" w:pos="360"/>
        </w:tabs>
        <w:ind w:left="360" w:hanging="360"/>
        <w:rPr>
          <w:rFonts w:cs="Calibri"/>
          <w:sz w:val="24"/>
          <w:szCs w:val="24"/>
          <w:lang w:val="es-ES"/>
        </w:rPr>
      </w:pPr>
      <w:r>
        <w:rPr>
          <w:rFonts w:cs="Calibri"/>
          <w:b/>
          <w:sz w:val="24"/>
          <w:szCs w:val="24"/>
          <w:lang w:val="es-ES"/>
        </w:rPr>
        <w:t xml:space="preserve">Protección del servicio público. </w:t>
      </w:r>
      <w:r>
        <w:rPr>
          <w:rFonts w:cs="Calibri"/>
          <w:sz w:val="24"/>
          <w:szCs w:val="24"/>
          <w:lang w:val="es-ES"/>
        </w:rPr>
        <w:t>Que se examinen medidas para fortalecer las obligaciones de servicio público en cercanías, regionales, zonas rurales y conexiones transfronterizas, con financiación, accesibilidad y asequibilidad suficientes.</w:t>
      </w:r>
    </w:p>
    <w:p w14:paraId="781E6B40">
      <w:pPr>
        <w:pStyle w:val="15"/>
        <w:tabs>
          <w:tab w:val="left" w:pos="360"/>
        </w:tabs>
        <w:ind w:left="360" w:hanging="360"/>
        <w:rPr>
          <w:rFonts w:cs="Calibri"/>
          <w:sz w:val="24"/>
          <w:szCs w:val="24"/>
          <w:lang w:val="es-ES"/>
        </w:rPr>
      </w:pPr>
      <w:r>
        <w:rPr>
          <w:rFonts w:cs="Calibri"/>
          <w:b/>
          <w:sz w:val="24"/>
          <w:szCs w:val="24"/>
          <w:lang w:val="es-ES"/>
        </w:rPr>
        <w:t xml:space="preserve">Cooperación europea. </w:t>
      </w:r>
      <w:r>
        <w:rPr>
          <w:rFonts w:cs="Calibri"/>
          <w:sz w:val="24"/>
          <w:szCs w:val="24"/>
          <w:lang w:val="es-ES"/>
        </w:rPr>
        <w:t>Que se promueva la interoperabilidad, la planificación pública y la coordinación entre Estados sin equiparar necesariamente integración ferroviaria y competencia comercial.</w:t>
      </w:r>
    </w:p>
    <w:p w14:paraId="420577F3">
      <w:pPr>
        <w:pStyle w:val="15"/>
        <w:tabs>
          <w:tab w:val="left" w:pos="360"/>
        </w:tabs>
        <w:ind w:left="360" w:hanging="360"/>
        <w:rPr>
          <w:rFonts w:cs="Calibri"/>
          <w:sz w:val="24"/>
          <w:szCs w:val="24"/>
          <w:lang w:val="es-ES"/>
        </w:rPr>
      </w:pPr>
      <w:r>
        <w:rPr>
          <w:rFonts w:cs="Calibri"/>
          <w:b/>
          <w:sz w:val="24"/>
          <w:szCs w:val="24"/>
          <w:lang w:val="es-ES"/>
        </w:rPr>
        <w:t xml:space="preserve">Examen parlamentario. </w:t>
      </w:r>
      <w:r>
        <w:rPr>
          <w:rFonts w:cs="Calibri"/>
          <w:sz w:val="24"/>
          <w:szCs w:val="24"/>
          <w:lang w:val="es-ES"/>
        </w:rPr>
        <w:t>Que se considere mantener abierta la petición, recabar aportaciones de la Comisión de Transportes y Turismo (TRAN) y promover un debate con trabajadores, usuarios y especialistas independientes.</w:t>
      </w:r>
    </w:p>
    <w:p w14:paraId="66D78F4D">
      <w:pPr>
        <w:pStyle w:val="15"/>
        <w:tabs>
          <w:tab w:val="left" w:pos="360"/>
        </w:tabs>
        <w:ind w:left="360" w:hanging="360"/>
        <w:rPr>
          <w:rFonts w:cs="Calibri"/>
          <w:sz w:val="24"/>
          <w:szCs w:val="24"/>
          <w:lang w:val="es-ES"/>
        </w:rPr>
      </w:pPr>
      <w:r>
        <w:rPr>
          <w:rFonts w:cs="Calibri"/>
          <w:b/>
          <w:sz w:val="24"/>
          <w:szCs w:val="24"/>
          <w:lang w:val="es-ES"/>
        </w:rPr>
        <w:t xml:space="preserve">Seguimiento. </w:t>
      </w:r>
      <w:r>
        <w:rPr>
          <w:rFonts w:cs="Calibri"/>
          <w:sz w:val="24"/>
          <w:szCs w:val="24"/>
          <w:lang w:val="es-ES"/>
        </w:rPr>
        <w:t>Que se comuniquen las respuestas institucionales y las actuaciones realizadas y se dé seguimiento a las recomendaciones que puedan formularse.</w:t>
      </w:r>
    </w:p>
    <w:p w14:paraId="76A157A2">
      <w:pPr>
        <w:pStyle w:val="2"/>
        <w:rPr>
          <w:rFonts w:ascii="Calibri" w:hAnsi="Calibri" w:cs="Calibri"/>
          <w:lang w:val="es-ES"/>
        </w:rPr>
      </w:pPr>
      <w:r>
        <w:rPr>
          <w:rFonts w:ascii="Calibri" w:hAnsi="Calibri" w:cs="Calibri"/>
          <w:lang w:val="es-ES"/>
        </w:rPr>
        <w:t>VI. Consideraciones finales</w:t>
      </w:r>
    </w:p>
    <w:p w14:paraId="26ABD9D0">
      <w:pPr>
        <w:rPr>
          <w:rFonts w:ascii="Calibri" w:hAnsi="Calibri" w:cs="Calibri"/>
          <w:lang w:val="es-ES"/>
        </w:rPr>
      </w:pPr>
      <w:r>
        <w:rPr>
          <w:rFonts w:ascii="Calibri" w:hAnsi="Calibri" w:cs="Calibri"/>
          <w:lang w:val="es-ES"/>
        </w:rPr>
        <w:t>La Unión Europea ha desempeñado un papel decisivo en la privatización del sector ferroviario Resulta imprescindible evaluar las consecuencias de las políticas de liberalización impulsadas durante décadas y exigir responsabilidades políticas por las prioridades legislativas adoptadas.</w:t>
      </w:r>
    </w:p>
    <w:p w14:paraId="5A65E5D1">
      <w:pPr>
        <w:rPr>
          <w:rFonts w:ascii="Calibri" w:hAnsi="Calibri" w:cs="Calibri"/>
          <w:lang w:val="es-ES"/>
        </w:rPr>
      </w:pPr>
    </w:p>
    <w:p w14:paraId="29CFD30F">
      <w:pPr>
        <w:rPr>
          <w:rFonts w:ascii="Calibri" w:hAnsi="Calibri" w:cs="Calibri"/>
          <w:lang w:val="es-ES"/>
        </w:rPr>
      </w:pPr>
      <w:r>
        <w:rPr>
          <w:rFonts w:ascii="Calibri" w:hAnsi="Calibri" w:cs="Calibri"/>
          <w:lang w:val="es-ES"/>
        </w:rPr>
        <w:t>La seguridad ferroviaria, la movilidad cotidiana, la calidad del empleo, la cohesión territorial y la transición ecológica deben prevalecer sobre la rentabilidad empresarial y la competencia comercial. Se reclama una revisión profunda del modelo europeo, orientada a revertir la liberalización, recuperar la titularidad y gestión públicas, permitir la integración de infraestructuras y servicios y garantizar una inversión pública suficiente y sostenida.</w:t>
      </w:r>
    </w:p>
    <w:p w14:paraId="1A333FA6">
      <w:pPr>
        <w:rPr>
          <w:rFonts w:ascii="Calibri" w:hAnsi="Calibri" w:cs="Calibri"/>
          <w:lang w:val="es-ES"/>
        </w:rPr>
      </w:pPr>
    </w:p>
    <w:p w14:paraId="57502306">
      <w:pPr>
        <w:rPr>
          <w:rFonts w:ascii="Calibri" w:hAnsi="Calibri" w:cs="Calibri"/>
          <w:lang w:val="es-ES"/>
        </w:rPr>
      </w:pPr>
      <w:r>
        <w:rPr>
          <w:rFonts w:ascii="Calibri" w:hAnsi="Calibri" w:cs="Calibri"/>
          <w:lang w:val="es-ES"/>
        </w:rPr>
        <w:t>Por todo lo expuesto, se solicita la admisión y tramitación de la presente petición, el requerimiento de una evaluación independiente a la Comisión Europea y la promoción de las iniciativas parlamentarias y legislativas necesarias para avanzar hacia sistemas ferroviarios públicos, integrados, seguros y orientados al interés general.</w:t>
      </w:r>
    </w:p>
    <w:p w14:paraId="0C20C94C">
      <w:pPr>
        <w:rPr>
          <w:rFonts w:ascii="Calibri" w:hAnsi="Calibri" w:cs="Calibri"/>
          <w:b/>
          <w:bCs/>
          <w:sz w:val="28"/>
          <w:szCs w:val="28"/>
          <w:lang w:val="es-ES"/>
        </w:rPr>
      </w:pPr>
      <w:r>
        <w:rPr>
          <w:rFonts w:ascii="Calibri" w:hAnsi="Calibri" w:cs="Calibri"/>
          <w:lang w:val="es-ES"/>
        </w:rPr>
        <w:br w:type="textWrapping"/>
      </w:r>
      <w:r>
        <w:rPr>
          <w:rFonts w:ascii="Calibri" w:hAnsi="Calibri" w:cs="Calibri"/>
          <w:lang w:val="es-ES"/>
        </w:rPr>
        <w:br w:type="textWrapping"/>
      </w:r>
      <w:r>
        <w:rPr>
          <w:rFonts w:ascii="Calibri" w:hAnsi="Calibri" w:cs="Calibri"/>
          <w:b/>
          <w:bCs/>
          <w:sz w:val="28"/>
          <w:szCs w:val="28"/>
          <w:lang w:val="es-ES"/>
        </w:rPr>
        <w:t>ANEXO: Fundamentos jurídicos</w:t>
      </w:r>
    </w:p>
    <w:p w14:paraId="4F1243B2">
      <w:pPr>
        <w:rPr>
          <w:rFonts w:ascii="Calibri" w:hAnsi="Calibri" w:cs="Calibri"/>
          <w:b/>
          <w:bCs/>
          <w:lang w:val="es-ES"/>
        </w:rPr>
      </w:pPr>
    </w:p>
    <w:p w14:paraId="60D71052">
      <w:pPr>
        <w:pStyle w:val="16"/>
        <w:tabs>
          <w:tab w:val="left" w:pos="360"/>
        </w:tabs>
        <w:ind w:left="360" w:hanging="360"/>
        <w:rPr>
          <w:rFonts w:cs="Calibri"/>
          <w:sz w:val="24"/>
          <w:szCs w:val="24"/>
          <w:lang w:val="es-ES"/>
        </w:rPr>
      </w:pPr>
      <w:r>
        <w:rPr>
          <w:rFonts w:cs="Calibri"/>
          <w:sz w:val="24"/>
          <w:szCs w:val="24"/>
          <w:lang w:val="es-ES"/>
        </w:rPr>
        <w:t>Artículo 227 TFUE: derecho de petición ante el Parlamento Europeo, sujeto a los requisitos de legitimación y afectación directa.</w:t>
      </w:r>
    </w:p>
    <w:p w14:paraId="3599FDF8">
      <w:pPr>
        <w:pStyle w:val="16"/>
        <w:tabs>
          <w:tab w:val="left" w:pos="360"/>
        </w:tabs>
        <w:ind w:left="360" w:hanging="360"/>
        <w:rPr>
          <w:rFonts w:cs="Calibri"/>
          <w:sz w:val="24"/>
          <w:szCs w:val="24"/>
          <w:lang w:val="es-ES"/>
        </w:rPr>
      </w:pPr>
      <w:r>
        <w:rPr>
          <w:rFonts w:cs="Calibri"/>
          <w:sz w:val="24"/>
          <w:szCs w:val="24"/>
          <w:lang w:val="es-ES"/>
        </w:rPr>
        <w:t>Artículos 90 a 100 TFUE: política común de transportes.</w:t>
      </w:r>
    </w:p>
    <w:p w14:paraId="6FB0E750">
      <w:pPr>
        <w:pStyle w:val="16"/>
        <w:tabs>
          <w:tab w:val="left" w:pos="360"/>
        </w:tabs>
        <w:ind w:left="360" w:hanging="360"/>
        <w:rPr>
          <w:rFonts w:cs="Calibri"/>
          <w:sz w:val="24"/>
          <w:szCs w:val="24"/>
          <w:lang w:val="es-ES"/>
        </w:rPr>
      </w:pPr>
      <w:r>
        <w:rPr>
          <w:rFonts w:cs="Calibri"/>
          <w:sz w:val="24"/>
          <w:szCs w:val="24"/>
          <w:lang w:val="es-ES"/>
        </w:rPr>
        <w:t>Artículo 14 TFUE y Protocolo n.º 26: servicios de interés económico general y principios de su organización.</w:t>
      </w:r>
    </w:p>
    <w:p w14:paraId="70A6C831">
      <w:pPr>
        <w:pStyle w:val="16"/>
        <w:tabs>
          <w:tab w:val="left" w:pos="360"/>
        </w:tabs>
        <w:ind w:left="360" w:hanging="360"/>
        <w:rPr>
          <w:rFonts w:cs="Calibri"/>
          <w:sz w:val="24"/>
          <w:szCs w:val="24"/>
          <w:lang w:val="es-ES"/>
        </w:rPr>
      </w:pPr>
      <w:r>
        <w:rPr>
          <w:rFonts w:cs="Calibri"/>
          <w:sz w:val="24"/>
          <w:szCs w:val="24"/>
          <w:lang w:val="es-ES"/>
        </w:rPr>
        <w:t>Artículo 36 de la Carta de los Derechos Fundamentales: reconocimiento y respeto del acceso a los servicios de interés económico general, en los términos legalmente previstos.</w:t>
      </w:r>
    </w:p>
    <w:p w14:paraId="495B01CD">
      <w:pPr>
        <w:pStyle w:val="16"/>
        <w:tabs>
          <w:tab w:val="left" w:pos="360"/>
        </w:tabs>
        <w:ind w:left="360" w:hanging="360"/>
        <w:rPr>
          <w:rFonts w:cs="Calibri"/>
          <w:sz w:val="24"/>
          <w:szCs w:val="24"/>
          <w:lang w:val="es-ES"/>
        </w:rPr>
      </w:pPr>
      <w:r>
        <w:rPr>
          <w:rFonts w:cs="Calibri"/>
          <w:sz w:val="24"/>
          <w:szCs w:val="24"/>
          <w:lang w:val="es-ES"/>
        </w:rPr>
        <w:t>Artículo 345 TFUE: neutralidad de los Tratados respecto al régimen de propiedad.</w:t>
      </w:r>
    </w:p>
    <w:p w14:paraId="4360F502">
      <w:pPr>
        <w:pStyle w:val="16"/>
        <w:tabs>
          <w:tab w:val="left" w:pos="360"/>
        </w:tabs>
        <w:ind w:left="360" w:hanging="360"/>
        <w:rPr>
          <w:rFonts w:cs="Calibri"/>
          <w:sz w:val="24"/>
          <w:szCs w:val="24"/>
          <w:lang w:val="es-ES"/>
        </w:rPr>
      </w:pPr>
      <w:r>
        <w:rPr>
          <w:rFonts w:cs="Calibri"/>
          <w:sz w:val="24"/>
          <w:szCs w:val="24"/>
          <w:lang w:val="es-ES"/>
        </w:rPr>
        <w:t>Artículos 174 y siguientes TFUE: cohesión económica, social y territorial.</w:t>
      </w:r>
    </w:p>
    <w:p w14:paraId="79A417E7">
      <w:pPr>
        <w:pStyle w:val="16"/>
        <w:tabs>
          <w:tab w:val="left" w:pos="360"/>
        </w:tabs>
        <w:ind w:left="360" w:hanging="360"/>
        <w:rPr>
          <w:rFonts w:cs="Calibri"/>
          <w:sz w:val="24"/>
          <w:szCs w:val="24"/>
          <w:lang w:val="es-ES"/>
        </w:rPr>
      </w:pPr>
      <w:r>
        <w:rPr>
          <w:rFonts w:cs="Calibri"/>
          <w:sz w:val="24"/>
          <w:szCs w:val="24"/>
          <w:lang w:val="es-ES"/>
        </w:rPr>
        <w:t>Artículo 11 TFUE: integración de las exigencias ambientales en las políticas de la Unión.</w:t>
      </w:r>
    </w:p>
    <w:p w14:paraId="2735F261">
      <w:pPr>
        <w:pStyle w:val="16"/>
        <w:tabs>
          <w:tab w:val="left" w:pos="360"/>
        </w:tabs>
        <w:ind w:left="360" w:hanging="360"/>
        <w:rPr>
          <w:rFonts w:cs="Calibri"/>
          <w:sz w:val="24"/>
          <w:szCs w:val="24"/>
          <w:lang w:val="es-ES"/>
        </w:rPr>
      </w:pPr>
      <w:r>
        <w:rPr>
          <w:rFonts w:cs="Calibri"/>
          <w:sz w:val="24"/>
          <w:szCs w:val="24"/>
          <w:lang w:val="es-ES"/>
        </w:rPr>
        <w:t>Directiva 2012/34/UE; Directiva (UE) 2016/2370; Reglamento (CE) 1370/2007; Reglamento (UE) 2016/2338; Directiva (UE) 2016/798: acceso al mercado, obligaciones de servicio público y seguridad ferroviaria.</w:t>
      </w:r>
    </w:p>
    <w:p w14:paraId="5D298975">
      <w:pPr>
        <w:rPr>
          <w:rFonts w:ascii="Calibri" w:hAnsi="Calibri" w:cs="Calibri"/>
          <w:lang w:val="es-ES"/>
        </w:rPr>
      </w:pPr>
    </w:p>
    <w:p w14:paraId="0CBDD710">
      <w:pPr>
        <w:rPr>
          <w:lang w:val="es-ES"/>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ptos">
    <w:altName w:val="SimSun"/>
    <w:panose1 w:val="00000000000000000000"/>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ptos Display">
    <w:altName w:val="Segoe Print"/>
    <w:panose1 w:val="00000000000000000000"/>
    <w:charset w:val="00"/>
    <w:family w:val="swiss"/>
    <w:pitch w:val="default"/>
    <w:sig w:usb0="00000000" w:usb1="00000000" w:usb2="00000000" w:usb3="00000000" w:csb0="0000019F" w:csb1="00000000"/>
  </w:font>
  <w:font w:name="Symbol">
    <w:panose1 w:val="05050102010706020507"/>
    <w:charset w:val="02"/>
    <w:family w:val="roman"/>
    <w:pitch w:val="default"/>
    <w:sig w:usb0="00000000" w:usb1="00000000" w:usb2="00000000" w:usb3="00000000" w:csb0="80000000" w:csb1="00000000"/>
  </w:font>
  <w:font w:name="等线">
    <w:altName w:val="Arial Unicode MS"/>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7C"/>
    <w:rsid w:val="003E5799"/>
    <w:rsid w:val="004F6C7C"/>
    <w:rsid w:val="005762E3"/>
    <w:rsid w:val="00711CD8"/>
    <w:rsid w:val="008765BE"/>
    <w:rsid w:val="00AC031B"/>
    <w:rsid w:val="20D970F2"/>
    <w:rsid w:val="4486669A"/>
    <w:rsid w:val="49754E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semiHidden="0" w:name="List Bullet"/>
    <w:lsdException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jc w:val="both"/>
    </w:pPr>
    <w:rPr>
      <w:rFonts w:ascii="Times New Roman" w:hAnsi="Times New Roman" w:cs="Times New Roman" w:eastAsiaTheme="minorHAnsi"/>
      <w:kern w:val="2"/>
      <w:sz w:val="24"/>
      <w:szCs w:val="24"/>
      <w:lang w:val="en-GB" w:eastAsia="en-US" w:bidi="ar-SA"/>
      <w14:ligatures w14:val="standardContextual"/>
    </w:rPr>
  </w:style>
  <w:style w:type="paragraph" w:styleId="2">
    <w:name w:val="heading 1"/>
    <w:basedOn w:val="1"/>
    <w:next w:val="1"/>
    <w:link w:val="19"/>
    <w:qFormat/>
    <w:uiPriority w:val="9"/>
    <w:pPr>
      <w:keepNext/>
      <w:spacing w:before="240" w:after="60"/>
      <w:outlineLvl w:val="0"/>
    </w:pPr>
    <w:rPr>
      <w:rFonts w:ascii="Arial" w:hAnsi="Arial" w:cs="Arial" w:eastAsiaTheme="majorEastAsia"/>
      <w:b/>
      <w:bCs/>
      <w:kern w:val="32"/>
      <w:sz w:val="32"/>
      <w:szCs w:val="32"/>
    </w:rPr>
  </w:style>
  <w:style w:type="paragraph" w:styleId="3">
    <w:name w:val="heading 2"/>
    <w:basedOn w:val="1"/>
    <w:next w:val="1"/>
    <w:link w:val="20"/>
    <w:semiHidden/>
    <w:unhideWhenUsed/>
    <w:qFormat/>
    <w:uiPriority w:val="9"/>
    <w:pPr>
      <w:keepNext/>
      <w:spacing w:before="240" w:after="60"/>
      <w:outlineLvl w:val="1"/>
    </w:pPr>
    <w:rPr>
      <w:rFonts w:ascii="Arial" w:hAnsi="Arial" w:cs="Arial" w:eastAsiaTheme="majorEastAsia"/>
      <w:b/>
      <w:bCs/>
      <w:i/>
      <w:iCs/>
      <w:sz w:val="28"/>
      <w:szCs w:val="28"/>
    </w:rPr>
  </w:style>
  <w:style w:type="paragraph" w:styleId="4">
    <w:name w:val="heading 3"/>
    <w:basedOn w:val="1"/>
    <w:next w:val="1"/>
    <w:link w:val="21"/>
    <w:semiHidden/>
    <w:unhideWhenUsed/>
    <w:qFormat/>
    <w:uiPriority w:val="9"/>
    <w:pPr>
      <w:keepNext/>
      <w:spacing w:before="240" w:after="60"/>
      <w:outlineLvl w:val="2"/>
    </w:pPr>
    <w:rPr>
      <w:rFonts w:ascii="Arial" w:hAnsi="Arial" w:cs="Arial" w:eastAsiaTheme="majorEastAsia"/>
      <w:b/>
      <w:bCs/>
      <w:sz w:val="26"/>
      <w:szCs w:val="26"/>
    </w:rPr>
  </w:style>
  <w:style w:type="paragraph" w:styleId="5">
    <w:name w:val="heading 4"/>
    <w:basedOn w:val="1"/>
    <w:next w:val="1"/>
    <w:link w:val="22"/>
    <w:semiHidden/>
    <w:unhideWhenUsed/>
    <w:qFormat/>
    <w:uiPriority w:val="9"/>
    <w:pPr>
      <w:keepNext/>
      <w:spacing w:before="240" w:after="60"/>
      <w:outlineLvl w:val="3"/>
    </w:pPr>
    <w:rPr>
      <w:b/>
      <w:bCs/>
      <w:sz w:val="28"/>
      <w:szCs w:val="28"/>
    </w:rPr>
  </w:style>
  <w:style w:type="paragraph" w:styleId="6">
    <w:name w:val="heading 5"/>
    <w:basedOn w:val="1"/>
    <w:next w:val="1"/>
    <w:link w:val="23"/>
    <w:semiHidden/>
    <w:unhideWhenUsed/>
    <w:qFormat/>
    <w:uiPriority w:val="9"/>
    <w:pPr>
      <w:spacing w:before="240" w:after="60"/>
      <w:outlineLvl w:val="4"/>
    </w:pPr>
    <w:rPr>
      <w:b/>
      <w:bCs/>
      <w:i/>
      <w:iCs/>
      <w:sz w:val="26"/>
      <w:szCs w:val="26"/>
    </w:rPr>
  </w:style>
  <w:style w:type="paragraph" w:styleId="7">
    <w:name w:val="heading 6"/>
    <w:basedOn w:val="1"/>
    <w:next w:val="1"/>
    <w:link w:val="24"/>
    <w:semiHidden/>
    <w:unhideWhenUsed/>
    <w:qFormat/>
    <w:uiPriority w:val="9"/>
    <w:pPr>
      <w:spacing w:before="240" w:after="60"/>
      <w:outlineLvl w:val="5"/>
    </w:pPr>
    <w:rPr>
      <w:b/>
      <w:bCs/>
      <w:sz w:val="22"/>
      <w:szCs w:val="22"/>
    </w:rPr>
  </w:style>
  <w:style w:type="paragraph" w:styleId="8">
    <w:name w:val="heading 7"/>
    <w:basedOn w:val="1"/>
    <w:next w:val="1"/>
    <w:link w:val="25"/>
    <w:semiHidden/>
    <w:unhideWhenUsed/>
    <w:qFormat/>
    <w:uiPriority w:val="9"/>
    <w:pPr>
      <w:spacing w:before="240" w:after="60"/>
      <w:outlineLvl w:val="6"/>
    </w:pPr>
  </w:style>
  <w:style w:type="paragraph" w:styleId="9">
    <w:name w:val="heading 8"/>
    <w:basedOn w:val="1"/>
    <w:next w:val="1"/>
    <w:link w:val="26"/>
    <w:semiHidden/>
    <w:unhideWhenUsed/>
    <w:qFormat/>
    <w:uiPriority w:val="9"/>
    <w:pPr>
      <w:spacing w:before="240" w:after="60"/>
      <w:outlineLvl w:val="7"/>
    </w:pPr>
    <w:rPr>
      <w:i/>
      <w:iCs/>
    </w:rPr>
  </w:style>
  <w:style w:type="paragraph" w:styleId="10">
    <w:name w:val="heading 9"/>
    <w:basedOn w:val="1"/>
    <w:next w:val="1"/>
    <w:link w:val="27"/>
    <w:semiHidden/>
    <w:unhideWhenUsed/>
    <w:qFormat/>
    <w:uiPriority w:val="9"/>
    <w:pPr>
      <w:spacing w:before="240" w:after="60"/>
      <w:outlineLvl w:val="8"/>
    </w:pPr>
    <w:rPr>
      <w:rFonts w:asciiTheme="majorHAnsi" w:hAnsiTheme="majorHAnsi" w:eastAsiaTheme="majorEastAsia"/>
      <w:sz w:val="22"/>
      <w:szCs w:val="22"/>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rFonts w:asciiTheme="minorHAnsi" w:hAnsiTheme="minorHAnsi"/>
      <w:b/>
      <w:i/>
      <w:iCs/>
    </w:rPr>
  </w:style>
  <w:style w:type="character" w:styleId="14">
    <w:name w:val="Strong"/>
    <w:basedOn w:val="11"/>
    <w:qFormat/>
    <w:uiPriority w:val="22"/>
    <w:rPr>
      <w:b/>
      <w:bCs/>
    </w:rPr>
  </w:style>
  <w:style w:type="paragraph" w:styleId="15">
    <w:name w:val="List Number"/>
    <w:basedOn w:val="1"/>
    <w:unhideWhenUsed/>
    <w:uiPriority w:val="99"/>
    <w:pPr>
      <w:numPr>
        <w:ilvl w:val="0"/>
        <w:numId w:val="1"/>
      </w:numPr>
      <w:tabs>
        <w:tab w:val="clear" w:pos="360"/>
      </w:tabs>
      <w:spacing w:after="140" w:line="276" w:lineRule="auto"/>
      <w:ind w:left="0" w:firstLine="0"/>
      <w:contextualSpacing/>
      <w:jc w:val="left"/>
    </w:pPr>
    <w:rPr>
      <w:rFonts w:ascii="Calibri" w:hAnsi="Calibri" w:eastAsiaTheme="minorEastAsia" w:cstheme="minorBidi"/>
      <w:kern w:val="0"/>
      <w:sz w:val="21"/>
      <w:szCs w:val="22"/>
      <w:lang w:val="en-US"/>
      <w14:ligatures w14:val="none"/>
    </w:rPr>
  </w:style>
  <w:style w:type="paragraph" w:styleId="16">
    <w:name w:val="List Bullet"/>
    <w:basedOn w:val="1"/>
    <w:unhideWhenUsed/>
    <w:uiPriority w:val="99"/>
    <w:pPr>
      <w:numPr>
        <w:ilvl w:val="0"/>
        <w:numId w:val="2"/>
      </w:numPr>
      <w:tabs>
        <w:tab w:val="clear" w:pos="360"/>
      </w:tabs>
      <w:spacing w:after="140" w:line="276" w:lineRule="auto"/>
      <w:ind w:left="0" w:firstLine="0"/>
      <w:contextualSpacing/>
      <w:jc w:val="left"/>
    </w:pPr>
    <w:rPr>
      <w:rFonts w:ascii="Calibri" w:hAnsi="Calibri" w:eastAsiaTheme="minorEastAsia" w:cstheme="minorBidi"/>
      <w:kern w:val="0"/>
      <w:sz w:val="21"/>
      <w:szCs w:val="22"/>
      <w:lang w:val="en-US"/>
      <w14:ligatures w14:val="none"/>
    </w:rPr>
  </w:style>
  <w:style w:type="paragraph" w:styleId="17">
    <w:name w:val="Subtitle"/>
    <w:basedOn w:val="1"/>
    <w:next w:val="1"/>
    <w:link w:val="29"/>
    <w:qFormat/>
    <w:uiPriority w:val="11"/>
    <w:pPr>
      <w:spacing w:after="60"/>
      <w:jc w:val="center"/>
      <w:outlineLvl w:val="1"/>
    </w:pPr>
    <w:rPr>
      <w:rFonts w:ascii="Arial" w:hAnsi="Arial" w:cs="Arial" w:eastAsiaTheme="majorEastAsia"/>
    </w:rPr>
  </w:style>
  <w:style w:type="paragraph" w:styleId="18">
    <w:name w:val="Title"/>
    <w:basedOn w:val="1"/>
    <w:next w:val="1"/>
    <w:link w:val="28"/>
    <w:qFormat/>
    <w:uiPriority w:val="10"/>
    <w:pPr>
      <w:spacing w:before="240" w:after="60"/>
      <w:jc w:val="center"/>
      <w:outlineLvl w:val="0"/>
    </w:pPr>
    <w:rPr>
      <w:rFonts w:ascii="Arial" w:hAnsi="Arial" w:cs="Arial" w:eastAsiaTheme="majorEastAsia"/>
      <w:b/>
      <w:bCs/>
      <w:kern w:val="28"/>
      <w:sz w:val="32"/>
      <w:szCs w:val="32"/>
    </w:rPr>
  </w:style>
  <w:style w:type="character" w:customStyle="1" w:styleId="19">
    <w:name w:val="Heading 1 Char"/>
    <w:basedOn w:val="11"/>
    <w:link w:val="2"/>
    <w:uiPriority w:val="9"/>
    <w:rPr>
      <w:rFonts w:ascii="Arial" w:hAnsi="Arial" w:cs="Arial" w:eastAsiaTheme="majorEastAsia"/>
      <w:b/>
      <w:bCs/>
      <w:kern w:val="32"/>
      <w:sz w:val="32"/>
      <w:szCs w:val="32"/>
    </w:rPr>
  </w:style>
  <w:style w:type="character" w:customStyle="1" w:styleId="20">
    <w:name w:val="Heading 2 Char"/>
    <w:basedOn w:val="11"/>
    <w:link w:val="3"/>
    <w:semiHidden/>
    <w:qFormat/>
    <w:uiPriority w:val="9"/>
    <w:rPr>
      <w:rFonts w:ascii="Arial" w:hAnsi="Arial" w:cs="Arial" w:eastAsiaTheme="majorEastAsia"/>
      <w:b/>
      <w:bCs/>
      <w:i/>
      <w:iCs/>
      <w:sz w:val="28"/>
      <w:szCs w:val="28"/>
    </w:rPr>
  </w:style>
  <w:style w:type="character" w:customStyle="1" w:styleId="21">
    <w:name w:val="Heading 3 Char"/>
    <w:basedOn w:val="11"/>
    <w:link w:val="4"/>
    <w:semiHidden/>
    <w:qFormat/>
    <w:uiPriority w:val="9"/>
    <w:rPr>
      <w:rFonts w:ascii="Arial" w:hAnsi="Arial" w:cs="Arial" w:eastAsiaTheme="majorEastAsia"/>
      <w:b/>
      <w:bCs/>
      <w:sz w:val="26"/>
      <w:szCs w:val="26"/>
    </w:rPr>
  </w:style>
  <w:style w:type="character" w:customStyle="1" w:styleId="22">
    <w:name w:val="Heading 4 Char"/>
    <w:basedOn w:val="11"/>
    <w:link w:val="5"/>
    <w:semiHidden/>
    <w:uiPriority w:val="9"/>
    <w:rPr>
      <w:b/>
      <w:bCs/>
      <w:sz w:val="28"/>
      <w:szCs w:val="28"/>
    </w:rPr>
  </w:style>
  <w:style w:type="character" w:customStyle="1" w:styleId="23">
    <w:name w:val="Heading 5 Char"/>
    <w:basedOn w:val="11"/>
    <w:link w:val="6"/>
    <w:semiHidden/>
    <w:uiPriority w:val="9"/>
    <w:rPr>
      <w:b/>
      <w:bCs/>
      <w:i/>
      <w:iCs/>
      <w:sz w:val="26"/>
      <w:szCs w:val="26"/>
    </w:rPr>
  </w:style>
  <w:style w:type="character" w:customStyle="1" w:styleId="24">
    <w:name w:val="Heading 6 Char"/>
    <w:basedOn w:val="11"/>
    <w:link w:val="7"/>
    <w:semiHidden/>
    <w:uiPriority w:val="9"/>
    <w:rPr>
      <w:b/>
      <w:bCs/>
    </w:rPr>
  </w:style>
  <w:style w:type="character" w:customStyle="1" w:styleId="25">
    <w:name w:val="Heading 7 Char"/>
    <w:basedOn w:val="11"/>
    <w:link w:val="8"/>
    <w:semiHidden/>
    <w:uiPriority w:val="9"/>
    <w:rPr>
      <w:sz w:val="24"/>
      <w:szCs w:val="24"/>
    </w:rPr>
  </w:style>
  <w:style w:type="character" w:customStyle="1" w:styleId="26">
    <w:name w:val="Heading 8 Char"/>
    <w:basedOn w:val="11"/>
    <w:link w:val="9"/>
    <w:semiHidden/>
    <w:uiPriority w:val="9"/>
    <w:rPr>
      <w:i/>
      <w:iCs/>
      <w:sz w:val="24"/>
      <w:szCs w:val="24"/>
    </w:rPr>
  </w:style>
  <w:style w:type="character" w:customStyle="1" w:styleId="27">
    <w:name w:val="Heading 9 Char"/>
    <w:basedOn w:val="11"/>
    <w:link w:val="10"/>
    <w:semiHidden/>
    <w:uiPriority w:val="9"/>
    <w:rPr>
      <w:rFonts w:asciiTheme="majorHAnsi" w:hAnsiTheme="majorHAnsi" w:eastAsiaTheme="majorEastAsia"/>
    </w:rPr>
  </w:style>
  <w:style w:type="character" w:customStyle="1" w:styleId="28">
    <w:name w:val="Title Char"/>
    <w:basedOn w:val="11"/>
    <w:link w:val="18"/>
    <w:uiPriority w:val="10"/>
    <w:rPr>
      <w:rFonts w:ascii="Arial" w:hAnsi="Arial" w:cs="Arial" w:eastAsiaTheme="majorEastAsia"/>
      <w:b/>
      <w:bCs/>
      <w:kern w:val="28"/>
      <w:sz w:val="32"/>
      <w:szCs w:val="32"/>
    </w:rPr>
  </w:style>
  <w:style w:type="character" w:customStyle="1" w:styleId="29">
    <w:name w:val="Subtitle Char"/>
    <w:basedOn w:val="11"/>
    <w:link w:val="17"/>
    <w:uiPriority w:val="11"/>
    <w:rPr>
      <w:rFonts w:ascii="Arial" w:hAnsi="Arial" w:cs="Arial" w:eastAsiaTheme="majorEastAsia"/>
      <w:sz w:val="24"/>
      <w:szCs w:val="24"/>
    </w:rPr>
  </w:style>
  <w:style w:type="paragraph" w:styleId="30">
    <w:name w:val="No Spacing"/>
    <w:basedOn w:val="1"/>
    <w:qFormat/>
    <w:uiPriority w:val="1"/>
    <w:rPr>
      <w:szCs w:val="32"/>
    </w:rPr>
  </w:style>
  <w:style w:type="paragraph" w:styleId="31">
    <w:name w:val="List Paragraph"/>
    <w:basedOn w:val="1"/>
    <w:qFormat/>
    <w:uiPriority w:val="34"/>
    <w:pPr>
      <w:ind w:left="720"/>
      <w:contextualSpacing/>
    </w:pPr>
  </w:style>
  <w:style w:type="paragraph" w:styleId="32">
    <w:name w:val="Quote"/>
    <w:basedOn w:val="1"/>
    <w:next w:val="1"/>
    <w:link w:val="33"/>
    <w:qFormat/>
    <w:uiPriority w:val="29"/>
    <w:rPr>
      <w:i/>
    </w:rPr>
  </w:style>
  <w:style w:type="character" w:customStyle="1" w:styleId="33">
    <w:name w:val="Quote Char"/>
    <w:basedOn w:val="11"/>
    <w:link w:val="32"/>
    <w:uiPriority w:val="29"/>
    <w:rPr>
      <w:i/>
      <w:sz w:val="24"/>
      <w:szCs w:val="24"/>
    </w:rPr>
  </w:style>
  <w:style w:type="paragraph" w:styleId="34">
    <w:name w:val="Intense Quote"/>
    <w:basedOn w:val="1"/>
    <w:next w:val="1"/>
    <w:link w:val="35"/>
    <w:qFormat/>
    <w:uiPriority w:val="30"/>
    <w:pPr>
      <w:ind w:left="720" w:right="720"/>
    </w:pPr>
    <w:rPr>
      <w:b/>
      <w:i/>
      <w:szCs w:val="22"/>
    </w:rPr>
  </w:style>
  <w:style w:type="character" w:customStyle="1" w:styleId="35">
    <w:name w:val="Intense Quote Char"/>
    <w:basedOn w:val="11"/>
    <w:link w:val="34"/>
    <w:uiPriority w:val="30"/>
    <w:rPr>
      <w:b/>
      <w:i/>
      <w:sz w:val="24"/>
    </w:rPr>
  </w:style>
  <w:style w:type="character" w:customStyle="1" w:styleId="36">
    <w:name w:val="Subtle Emphasis"/>
    <w:qFormat/>
    <w:uiPriority w:val="19"/>
    <w:rPr>
      <w:i/>
      <w:color w:val="595959" w:themeColor="text1" w:themeTint="A6"/>
      <w14:textFill>
        <w14:solidFill>
          <w14:schemeClr w14:val="tx1">
            <w14:lumMod w14:val="65000"/>
            <w14:lumOff w14:val="35000"/>
          </w14:schemeClr>
        </w14:solidFill>
      </w14:textFill>
    </w:rPr>
  </w:style>
  <w:style w:type="character" w:customStyle="1" w:styleId="37">
    <w:name w:val="Intense Emphasis"/>
    <w:basedOn w:val="11"/>
    <w:qFormat/>
    <w:uiPriority w:val="21"/>
    <w:rPr>
      <w:b/>
      <w:i/>
      <w:sz w:val="24"/>
      <w:szCs w:val="24"/>
      <w:u w:val="single"/>
    </w:rPr>
  </w:style>
  <w:style w:type="character" w:customStyle="1" w:styleId="38">
    <w:name w:val="Subtle Reference"/>
    <w:basedOn w:val="11"/>
    <w:qFormat/>
    <w:uiPriority w:val="31"/>
    <w:rPr>
      <w:sz w:val="24"/>
      <w:szCs w:val="24"/>
      <w:u w:val="single"/>
    </w:rPr>
  </w:style>
  <w:style w:type="character" w:customStyle="1" w:styleId="39">
    <w:name w:val="Intense Reference"/>
    <w:basedOn w:val="11"/>
    <w:qFormat/>
    <w:uiPriority w:val="32"/>
    <w:rPr>
      <w:b/>
      <w:sz w:val="24"/>
      <w:u w:val="single"/>
    </w:rPr>
  </w:style>
  <w:style w:type="character" w:customStyle="1" w:styleId="40">
    <w:name w:val="Book Title"/>
    <w:basedOn w:val="11"/>
    <w:qFormat/>
    <w:uiPriority w:val="33"/>
    <w:rPr>
      <w:rFonts w:asciiTheme="majorHAnsi" w:hAnsiTheme="majorHAnsi" w:eastAsiaTheme="majorEastAsia"/>
      <w:b/>
      <w:i/>
      <w:sz w:val="24"/>
      <w:szCs w:val="24"/>
    </w:rPr>
  </w:style>
  <w:style w:type="paragraph" w:customStyle="1" w:styleId="41">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European Parliament</Company>
  <Pages>4</Pages>
  <Words>1580</Words>
  <Characters>9009</Characters>
  <Lines>75</Lines>
  <Paragraphs>21</Paragraphs>
  <TotalTime>5</TotalTime>
  <ScaleCrop>false</ScaleCrop>
  <LinksUpToDate>false</LinksUpToDate>
  <CharactersWithSpaces>10568</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2026-11-03T12:44:00Z</dcterms:created>
  <dc:creator>CRIADO GARCIA Jose</dc:creator>
  <cp:lastModifiedBy>José Morales Arias</cp:lastModifiedBy>
  <dcterms:modified xsi:type="dcterms:W3CDTF">2026-11-04T15:14:03Z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3082-12.2.0.20795</vt:lpwstr>
  </property>
  <property fmtid="{D5CDD505-2E9C-101B-9397-08002B2CF9AE}" pid="3" name="ICV">
    <vt:lpwstr>67F5F4B9FC52485FA2EE979BE1FEDD69_13</vt:lpwstr>
  </property>
</Properties>
</file>