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E1" w:rsidRDefault="002F1CAF">
      <w:pPr>
        <w:pStyle w:val="Cuerpo"/>
        <w:jc w:val="both"/>
        <w:rPr>
          <w:rFonts w:hint="eastAsia"/>
          <w:b/>
          <w:bCs/>
          <w:sz w:val="26"/>
          <w:szCs w:val="26"/>
        </w:rPr>
      </w:pPr>
      <w:bookmarkStart w:id="0" w:name="_GoBack"/>
      <w:bookmarkEnd w:id="0"/>
      <w:r>
        <w:rPr>
          <w:b/>
          <w:bCs/>
          <w:sz w:val="26"/>
          <w:szCs w:val="26"/>
        </w:rPr>
        <w:t>COMISIÓN DE INVESTIGACIÓN RELATIVA A LA UTILIZACIÓN ILEGAL DE EFECTIVOS, MEDIOS Y RECURSOS DEL MINISTERIO DEL INTERIOR, CON LA FINALIDAD DE FAVORECER INTERESES POLÍTICOS DEL PP Y ANULAR PRUEBAS INCULPATORIAS PARA ESTE PARTIDO EN CASOS DE CORRUPCIÓN, DURANTE LOS MANDATOS DE GOBIERNO DEL PARTIDO POPULAR</w:t>
      </w:r>
    </w:p>
    <w:p w:rsidR="00CA77E1" w:rsidRDefault="00CA77E1">
      <w:pPr>
        <w:pStyle w:val="Cuerpo"/>
        <w:jc w:val="both"/>
        <w:rPr>
          <w:rFonts w:hint="eastAsia"/>
          <w:b/>
          <w:bCs/>
          <w:sz w:val="26"/>
          <w:szCs w:val="26"/>
        </w:rPr>
      </w:pPr>
    </w:p>
    <w:p w:rsidR="00CA77E1" w:rsidRDefault="00CA77E1">
      <w:pPr>
        <w:pStyle w:val="Cuerpo"/>
        <w:jc w:val="both"/>
        <w:rPr>
          <w:rFonts w:hint="eastAsia"/>
          <w:b/>
          <w:bCs/>
          <w:sz w:val="26"/>
          <w:szCs w:val="26"/>
        </w:rPr>
      </w:pPr>
    </w:p>
    <w:p w:rsidR="00CA77E1" w:rsidRDefault="00CA77E1">
      <w:pPr>
        <w:pStyle w:val="Cuerpo"/>
        <w:jc w:val="both"/>
        <w:rPr>
          <w:rFonts w:hint="eastAsia"/>
          <w:b/>
          <w:bCs/>
          <w:sz w:val="26"/>
          <w:szCs w:val="26"/>
        </w:rPr>
      </w:pPr>
    </w:p>
    <w:p w:rsidR="00CA77E1" w:rsidRDefault="002F1CAF">
      <w:pPr>
        <w:pStyle w:val="Cuerpo"/>
        <w:jc w:val="center"/>
        <w:rPr>
          <w:rFonts w:hint="eastAsia"/>
          <w:b/>
          <w:bCs/>
          <w:sz w:val="26"/>
          <w:szCs w:val="26"/>
        </w:rPr>
      </w:pPr>
      <w:r>
        <w:rPr>
          <w:b/>
          <w:bCs/>
          <w:sz w:val="26"/>
          <w:szCs w:val="26"/>
        </w:rPr>
        <w:t>PLAN DE TRABAJO</w:t>
      </w:r>
    </w:p>
    <w:p w:rsidR="00CA77E1" w:rsidRDefault="00CA77E1">
      <w:pPr>
        <w:pStyle w:val="Cuerpo"/>
        <w:jc w:val="center"/>
        <w:rPr>
          <w:rFonts w:hint="eastAsia"/>
          <w:b/>
          <w:bCs/>
          <w:sz w:val="26"/>
          <w:szCs w:val="26"/>
        </w:rPr>
      </w:pPr>
    </w:p>
    <w:p w:rsidR="00CA77E1" w:rsidRDefault="00CA77E1">
      <w:pPr>
        <w:pStyle w:val="Cuerpo"/>
        <w:jc w:val="both"/>
        <w:rPr>
          <w:rFonts w:hint="eastAsia"/>
          <w:sz w:val="26"/>
          <w:szCs w:val="26"/>
        </w:rPr>
      </w:pPr>
    </w:p>
    <w:p w:rsidR="00CA77E1" w:rsidRDefault="002F1CAF">
      <w:pPr>
        <w:pStyle w:val="Cuerpo"/>
        <w:jc w:val="both"/>
        <w:rPr>
          <w:rFonts w:hint="eastAsia"/>
          <w:b/>
          <w:bCs/>
          <w:sz w:val="26"/>
          <w:szCs w:val="26"/>
        </w:rPr>
      </w:pPr>
      <w:r>
        <w:rPr>
          <w:b/>
          <w:bCs/>
          <w:sz w:val="26"/>
          <w:szCs w:val="26"/>
        </w:rPr>
        <w:t>OBJETO</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lang w:val="pt-PT"/>
        </w:rPr>
        <w:t>La Comisi</w:t>
      </w:r>
      <w:proofErr w:type="spellStart"/>
      <w:r>
        <w:rPr>
          <w:sz w:val="26"/>
          <w:szCs w:val="26"/>
        </w:rPr>
        <w:t>ó</w:t>
      </w:r>
      <w:proofErr w:type="spellEnd"/>
      <w:r>
        <w:rPr>
          <w:sz w:val="26"/>
          <w:szCs w:val="26"/>
          <w:lang w:val="fr-FR"/>
        </w:rPr>
        <w:t>n tendr</w:t>
      </w:r>
      <w:r>
        <w:rPr>
          <w:sz w:val="26"/>
          <w:szCs w:val="26"/>
          <w:lang w:val="pt-PT"/>
        </w:rPr>
        <w:t xml:space="preserve">á </w:t>
      </w:r>
      <w:r>
        <w:rPr>
          <w:sz w:val="26"/>
          <w:szCs w:val="26"/>
        </w:rPr>
        <w:t xml:space="preserve">por objeto investigar la utilización ilegal de efectivos, medios y recursos del Ministerio del Interior y otras instituciones del Estado, con la finalidad de favorecer intereses políticos del PP, de </w:t>
      </w:r>
      <w:r>
        <w:rPr>
          <w:sz w:val="26"/>
          <w:szCs w:val="26"/>
          <w:lang w:val="pt-PT"/>
        </w:rPr>
        <w:t>perseguir il</w:t>
      </w:r>
      <w:proofErr w:type="spellStart"/>
      <w:r>
        <w:rPr>
          <w:sz w:val="26"/>
          <w:szCs w:val="26"/>
        </w:rPr>
        <w:t>ícitamente</w:t>
      </w:r>
      <w:proofErr w:type="spellEnd"/>
      <w:r>
        <w:rPr>
          <w:sz w:val="26"/>
          <w:szCs w:val="26"/>
        </w:rPr>
        <w:t xml:space="preserve"> a personas y de anular pruebas inculpatorias para este partido en casos de corrupción, durante los mandatos de gobierno del Partido Popular.</w:t>
      </w:r>
    </w:p>
    <w:p w:rsidR="00CA77E1" w:rsidRDefault="00CA77E1">
      <w:pPr>
        <w:pStyle w:val="Cuerpo"/>
        <w:jc w:val="both"/>
        <w:rPr>
          <w:rFonts w:hint="eastAsia"/>
          <w:sz w:val="26"/>
          <w:szCs w:val="26"/>
        </w:rPr>
      </w:pPr>
    </w:p>
    <w:p w:rsidR="00CA77E1" w:rsidRDefault="00CA77E1">
      <w:pPr>
        <w:pStyle w:val="Cuerpo"/>
        <w:jc w:val="both"/>
        <w:rPr>
          <w:rFonts w:hint="eastAsia"/>
          <w:sz w:val="26"/>
          <w:szCs w:val="26"/>
        </w:rPr>
      </w:pPr>
    </w:p>
    <w:p w:rsidR="00CA77E1" w:rsidRDefault="00CA77E1">
      <w:pPr>
        <w:pStyle w:val="Cuerpo"/>
        <w:jc w:val="both"/>
        <w:rPr>
          <w:rFonts w:hint="eastAsia"/>
          <w:sz w:val="26"/>
          <w:szCs w:val="26"/>
        </w:rPr>
      </w:pPr>
    </w:p>
    <w:p w:rsidR="00CA77E1" w:rsidRDefault="002F1CAF">
      <w:pPr>
        <w:pStyle w:val="Cuerpo"/>
        <w:jc w:val="both"/>
        <w:rPr>
          <w:rFonts w:hint="eastAsia"/>
          <w:b/>
          <w:bCs/>
          <w:sz w:val="26"/>
          <w:szCs w:val="26"/>
        </w:rPr>
      </w:pPr>
      <w:r>
        <w:rPr>
          <w:b/>
          <w:bCs/>
          <w:sz w:val="26"/>
          <w:szCs w:val="26"/>
        </w:rPr>
        <w:t>TAREAS</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Los trabajos de la Comisión de Investigación se desarrollarán conforme a las siguientes fases:</w:t>
      </w:r>
    </w:p>
    <w:p w:rsidR="00CA77E1" w:rsidRDefault="00CA77E1">
      <w:pPr>
        <w:pStyle w:val="Cuerpo"/>
        <w:jc w:val="both"/>
        <w:rPr>
          <w:rFonts w:hint="eastAsia"/>
          <w:sz w:val="26"/>
          <w:szCs w:val="26"/>
        </w:rPr>
      </w:pPr>
    </w:p>
    <w:p w:rsidR="00CA77E1" w:rsidRDefault="00CA77E1">
      <w:pPr>
        <w:pStyle w:val="Cuerpo"/>
        <w:jc w:val="both"/>
        <w:rPr>
          <w:rFonts w:hint="eastAsia"/>
          <w:sz w:val="26"/>
          <w:szCs w:val="26"/>
        </w:rPr>
      </w:pPr>
    </w:p>
    <w:p w:rsidR="00CA77E1" w:rsidRDefault="002F1CAF">
      <w:pPr>
        <w:pStyle w:val="Cuerpo"/>
        <w:numPr>
          <w:ilvl w:val="0"/>
          <w:numId w:val="2"/>
        </w:numPr>
        <w:jc w:val="both"/>
        <w:rPr>
          <w:rFonts w:hint="eastAsia"/>
          <w:b/>
          <w:bCs/>
          <w:sz w:val="26"/>
          <w:szCs w:val="26"/>
        </w:rPr>
      </w:pPr>
      <w:r>
        <w:rPr>
          <w:b/>
          <w:bCs/>
          <w:sz w:val="26"/>
          <w:szCs w:val="26"/>
        </w:rPr>
        <w:t>Fase de información escrita y documentación.</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La Comisión recabará del Gobierno, del conjunto de las administraciones públicas, autoridades y funcionarios, así como de cualesquiera personas físicas o jurídicas, públicas o privadas, cuantos documentos, informes, antecedentes o datos sean necesarios para investigar, esclarecer y analizar las actuaciones e informaciones que constituyen el objeto.</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 xml:space="preserve">Para ello, la Mesa de la Comisión acordará la apertura de los plazos durante los cuales sus miembros podrán proponer las correspondientes solicitudes de documentos, informes, antecedentes o datos. Una vez aprobadas estas solicitudes por mayoría en la Mesa de la Comisión, la documentación será demandada con la mayor celeridad posible, recibida y puesta a disposición inmediata de todos los miembros de la Comisión.  </w:t>
      </w:r>
    </w:p>
    <w:p w:rsidR="00CA77E1" w:rsidRDefault="002F1CAF">
      <w:pPr>
        <w:pStyle w:val="Cuerpo"/>
        <w:jc w:val="both"/>
        <w:rPr>
          <w:rFonts w:hint="eastAsia"/>
          <w:b/>
          <w:bCs/>
          <w:sz w:val="26"/>
          <w:szCs w:val="26"/>
        </w:rPr>
      </w:pPr>
      <w:r>
        <w:rPr>
          <w:b/>
          <w:bCs/>
          <w:sz w:val="26"/>
          <w:szCs w:val="26"/>
        </w:rPr>
        <w:lastRenderedPageBreak/>
        <w:t>2. Fase de comparecencias.</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La Comisión celebrará las comparecencias que considere pertinentes para cumplir su objeto.</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A tal efecto, la Mesa de la Comisión acordará la apertura de un plazo durante el cual sus miembros podrán proponer las correspondientes solicitudes de comparecencias. Todas las comparecencias deberán ser aprobadas por la Comisión.</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 xml:space="preserve">Durante el desarrollo de los trabajos y como consecuencia de éstos, la Comisión podrá acordar la apertura de nuevos plazos para la propuesta y la aprobación de nuevas comparecencias. </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En los requerimientos de comparecencia, a los efectos de dar cumplimiento a lo dispuesto en el artículo segundo de la Ley Orgánica 5/1984, de 24 de mayo, se concretará el tema sobre el que deba versar el testimonio, pudiendo detallar los aspectos concretos de las actuaciones e informaciones que integran el objeto de la Comisión sobre los que interese que se pronuncie el compareciente, con motivo de que pueda preparar su intervención de manera que responda íntegra y adecuadamente a las demandas de los miembros de la Comisión.</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Las comparecencias se celebrarán con la advertencia expresa de las consecuencias previstas en el artículo 502 del Código Penal, para quienes dejaren de comparecer o faltaren a la verdad ante una Comisión de Investigación de las Cortes Generales.</w:t>
      </w:r>
    </w:p>
    <w:p w:rsidR="00CA77E1" w:rsidRDefault="00CA77E1">
      <w:pPr>
        <w:pStyle w:val="Cuerpo"/>
        <w:jc w:val="both"/>
        <w:rPr>
          <w:rFonts w:hint="eastAsia"/>
          <w:sz w:val="26"/>
          <w:szCs w:val="26"/>
        </w:rPr>
      </w:pPr>
    </w:p>
    <w:p w:rsidR="00CA77E1" w:rsidRDefault="00CA77E1">
      <w:pPr>
        <w:pStyle w:val="Cuerpo"/>
        <w:jc w:val="both"/>
        <w:rPr>
          <w:rFonts w:hint="eastAsia"/>
          <w:sz w:val="26"/>
          <w:szCs w:val="26"/>
        </w:rPr>
      </w:pPr>
    </w:p>
    <w:p w:rsidR="00CA77E1" w:rsidRDefault="002F1CAF">
      <w:pPr>
        <w:pStyle w:val="Cuerpo"/>
        <w:jc w:val="both"/>
        <w:rPr>
          <w:rFonts w:hint="eastAsia"/>
          <w:b/>
          <w:bCs/>
          <w:sz w:val="26"/>
          <w:szCs w:val="26"/>
        </w:rPr>
      </w:pPr>
      <w:r>
        <w:rPr>
          <w:b/>
          <w:bCs/>
          <w:sz w:val="26"/>
          <w:szCs w:val="26"/>
        </w:rPr>
        <w:t>3. Fase de elaboración del Dictamen.</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 xml:space="preserve">Tras la finalización de la fase de comparecencias, comenzará la fase de elaboración de las conclusiones. </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A tal efecto, la Mesa de la Comisión acordará la apertura de un plazo durante el cual los Grupos Parlamentarios podrán plantear sus propuestas para incorporar al Dictamen, que serán debatidas y votadas en el seno de la propia Comisión.</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 xml:space="preserve">Una vez aprobado el Dictamen en Comisión, éste será elevado al Pleno del Congreso de los Diputados para su debate y votación. </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 xml:space="preserve">Con carácter previo, los Grupos Parlamentarios que lo deseen podrán elevar sus votos particulares para defender asimismo ante el Pleno, conforme al plazo que establezca la Mesa de la Comisión. </w:t>
      </w:r>
    </w:p>
    <w:p w:rsidR="00CA77E1" w:rsidRDefault="00CA77E1">
      <w:pPr>
        <w:pStyle w:val="Cuerpo"/>
        <w:jc w:val="both"/>
        <w:rPr>
          <w:rFonts w:hint="eastAsia"/>
          <w:sz w:val="26"/>
          <w:szCs w:val="26"/>
        </w:rPr>
      </w:pPr>
    </w:p>
    <w:p w:rsidR="00CA77E1" w:rsidRDefault="002F1CAF">
      <w:pPr>
        <w:pStyle w:val="Cuerpo"/>
        <w:jc w:val="both"/>
        <w:rPr>
          <w:rFonts w:hint="eastAsia"/>
          <w:b/>
          <w:bCs/>
          <w:sz w:val="26"/>
          <w:szCs w:val="26"/>
        </w:rPr>
      </w:pPr>
      <w:r>
        <w:rPr>
          <w:b/>
          <w:bCs/>
          <w:sz w:val="26"/>
          <w:szCs w:val="26"/>
        </w:rPr>
        <w:t>VOTACIONES</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Todas las votaciones en el seno de la Comisión de Investigación se llevarán a cabo mediante el procedimiento del voto ponderado, en relación a la importancia numérica de cada Grupo Parlamentario en el Pleno del Congreso de los Diputados.</w:t>
      </w:r>
    </w:p>
    <w:p w:rsidR="00CA77E1" w:rsidRDefault="00CA77E1">
      <w:pPr>
        <w:pStyle w:val="Cuerpo"/>
        <w:jc w:val="both"/>
        <w:rPr>
          <w:rFonts w:hint="eastAsia"/>
          <w:sz w:val="26"/>
          <w:szCs w:val="26"/>
        </w:rPr>
      </w:pP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b/>
          <w:bCs/>
          <w:sz w:val="26"/>
          <w:szCs w:val="26"/>
        </w:rPr>
        <w:t>DURACIÓN</w:t>
      </w:r>
      <w:r>
        <w:rPr>
          <w:sz w:val="26"/>
          <w:szCs w:val="26"/>
        </w:rPr>
        <w:t xml:space="preserve"> </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La duración de los trabajos de esta Comisión ser</w:t>
      </w:r>
      <w:r>
        <w:rPr>
          <w:sz w:val="26"/>
          <w:szCs w:val="26"/>
          <w:lang w:val="pt-PT"/>
        </w:rPr>
        <w:t xml:space="preserve">á </w:t>
      </w:r>
      <w:r>
        <w:rPr>
          <w:sz w:val="26"/>
          <w:szCs w:val="26"/>
        </w:rPr>
        <w:t xml:space="preserve">de tres meses desde su constitución. Este plazo </w:t>
      </w:r>
      <w:proofErr w:type="spellStart"/>
      <w:r>
        <w:rPr>
          <w:sz w:val="26"/>
          <w:szCs w:val="26"/>
        </w:rPr>
        <w:t>podr</w:t>
      </w:r>
      <w:proofErr w:type="spellEnd"/>
      <w:r>
        <w:rPr>
          <w:sz w:val="26"/>
          <w:szCs w:val="26"/>
          <w:lang w:val="pt-PT"/>
        </w:rPr>
        <w:t xml:space="preserve">á </w:t>
      </w:r>
      <w:r>
        <w:rPr>
          <w:sz w:val="26"/>
          <w:szCs w:val="26"/>
        </w:rPr>
        <w:t xml:space="preserve">ser prorrogado por decisión del Pleno del Congreso de los Diputados. </w:t>
      </w:r>
    </w:p>
    <w:p w:rsidR="00CA77E1" w:rsidRDefault="00CA77E1">
      <w:pPr>
        <w:pStyle w:val="Cuerpo"/>
        <w:jc w:val="both"/>
        <w:rPr>
          <w:rFonts w:hint="eastAsia"/>
          <w:sz w:val="26"/>
          <w:szCs w:val="26"/>
        </w:rPr>
      </w:pPr>
    </w:p>
    <w:p w:rsidR="00CA77E1" w:rsidRDefault="00CA77E1">
      <w:pPr>
        <w:pStyle w:val="Cuerpo"/>
        <w:jc w:val="both"/>
        <w:rPr>
          <w:rFonts w:hint="eastAsia"/>
          <w:sz w:val="26"/>
          <w:szCs w:val="26"/>
        </w:rPr>
      </w:pPr>
    </w:p>
    <w:p w:rsidR="00CA77E1" w:rsidRDefault="002F1CAF">
      <w:pPr>
        <w:pStyle w:val="Cuerpo"/>
        <w:jc w:val="both"/>
        <w:rPr>
          <w:rFonts w:hint="eastAsia"/>
          <w:b/>
          <w:bCs/>
          <w:sz w:val="26"/>
          <w:szCs w:val="26"/>
        </w:rPr>
      </w:pPr>
      <w:r>
        <w:rPr>
          <w:b/>
          <w:bCs/>
          <w:sz w:val="26"/>
          <w:szCs w:val="26"/>
        </w:rPr>
        <w:t>TRASLADO AL MINISTERIO FISCAL</w:t>
      </w:r>
    </w:p>
    <w:p w:rsidR="00CA77E1" w:rsidRDefault="00CA77E1">
      <w:pPr>
        <w:pStyle w:val="Cuerpo"/>
        <w:jc w:val="both"/>
        <w:rPr>
          <w:rFonts w:hint="eastAsia"/>
          <w:sz w:val="26"/>
          <w:szCs w:val="26"/>
        </w:rPr>
      </w:pPr>
    </w:p>
    <w:p w:rsidR="00CA77E1" w:rsidRDefault="002F1CAF">
      <w:pPr>
        <w:pStyle w:val="Cuerpo"/>
        <w:jc w:val="both"/>
        <w:rPr>
          <w:rFonts w:hint="eastAsia"/>
          <w:sz w:val="26"/>
          <w:szCs w:val="26"/>
        </w:rPr>
      </w:pPr>
      <w:r>
        <w:rPr>
          <w:sz w:val="26"/>
          <w:szCs w:val="26"/>
        </w:rPr>
        <w:t>El Pleno del Congreso de los Diputados podrá acordar, en su caso y conforme a lo previsto en el artículo 76.1 de la Constitución, que la Mesa del Congreso d</w:t>
      </w:r>
      <w:r>
        <w:rPr>
          <w:sz w:val="26"/>
          <w:szCs w:val="26"/>
          <w:lang w:val="fr-FR"/>
        </w:rPr>
        <w:t xml:space="preserve">é </w:t>
      </w:r>
      <w:r>
        <w:rPr>
          <w:sz w:val="26"/>
          <w:szCs w:val="26"/>
        </w:rPr>
        <w:t>traslado al Ministerio Fiscal de  sus conclusiones para el ejercicio de las acciones que sean procedentes.</w:t>
      </w:r>
    </w:p>
    <w:p w:rsidR="00CA77E1" w:rsidRDefault="00CA77E1">
      <w:pPr>
        <w:pStyle w:val="Cuerpo"/>
        <w:jc w:val="both"/>
        <w:rPr>
          <w:rFonts w:hint="eastAsia"/>
          <w:sz w:val="26"/>
          <w:szCs w:val="26"/>
        </w:rPr>
      </w:pPr>
    </w:p>
    <w:p w:rsidR="00CA77E1" w:rsidRDefault="00CA77E1">
      <w:pPr>
        <w:pStyle w:val="Cuerpo"/>
        <w:jc w:val="both"/>
        <w:rPr>
          <w:rFonts w:hint="eastAsia"/>
        </w:rPr>
      </w:pPr>
    </w:p>
    <w:sectPr w:rsidR="00CA77E1" w:rsidSect="00AE590C">
      <w:headerReference w:type="default" r:id="rId7"/>
      <w:pgSz w:w="11906" w:h="16838"/>
      <w:pgMar w:top="2977" w:right="1700" w:bottom="1134" w:left="1701"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9E8" w:rsidRDefault="007739E8">
      <w:r>
        <w:separator/>
      </w:r>
    </w:p>
  </w:endnote>
  <w:endnote w:type="continuationSeparator" w:id="0">
    <w:p w:rsidR="007739E8" w:rsidRDefault="0077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9E8" w:rsidRDefault="007739E8">
      <w:r>
        <w:separator/>
      </w:r>
    </w:p>
  </w:footnote>
  <w:footnote w:type="continuationSeparator" w:id="0">
    <w:p w:rsidR="007739E8" w:rsidRDefault="007739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0C" w:rsidRPr="00AE590C" w:rsidRDefault="00AE590C" w:rsidP="00AE590C">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rPr>
        <w:rFonts w:ascii="Calibri" w:eastAsia="Calibri" w:hAnsi="Calibri"/>
        <w:sz w:val="22"/>
        <w:szCs w:val="22"/>
        <w:bdr w:val="none" w:sz="0" w:space="0" w:color="auto"/>
        <w:lang w:val="es-ES_tradnl"/>
      </w:rPr>
    </w:pPr>
    <w:r w:rsidRPr="00AE590C">
      <w:rPr>
        <w:rFonts w:ascii="Calibri" w:eastAsia="Calibri" w:hAnsi="Calibri"/>
        <w:noProof/>
        <w:sz w:val="22"/>
        <w:szCs w:val="22"/>
        <w:bdr w:val="none" w:sz="0" w:space="0" w:color="auto"/>
        <w:lang w:val="es-ES" w:eastAsia="es-ES"/>
      </w:rPr>
      <w:drawing>
        <wp:inline distT="0" distB="0" distL="0" distR="0" wp14:anchorId="563AFE5C" wp14:editId="303CE97D">
          <wp:extent cx="1504950" cy="990600"/>
          <wp:effectExtent l="0" t="0" r="0" b="0"/>
          <wp:docPr id="1" name="Imagen 1" descr="logo grupo parlame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rupo parlament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r w:rsidRPr="00AE590C">
      <w:rPr>
        <w:rFonts w:ascii="Calibri" w:eastAsia="Calibri" w:hAnsi="Calibri"/>
        <w:sz w:val="22"/>
        <w:szCs w:val="22"/>
        <w:bdr w:val="none" w:sz="0" w:space="0" w:color="auto"/>
        <w:lang w:val="es-ES_tradnl"/>
      </w:rPr>
      <w:t xml:space="preserve">                                                                     </w:t>
    </w:r>
    <w:r w:rsidRPr="00AE590C">
      <w:rPr>
        <w:rFonts w:ascii="Calibri" w:eastAsia="Calibri" w:hAnsi="Calibri"/>
        <w:noProof/>
        <w:sz w:val="22"/>
        <w:szCs w:val="22"/>
        <w:bdr w:val="none" w:sz="0" w:space="0" w:color="auto"/>
        <w:lang w:val="es-ES" w:eastAsia="es-ES"/>
      </w:rPr>
      <w:drawing>
        <wp:inline distT="0" distB="0" distL="0" distR="0" wp14:anchorId="2BD620A0" wp14:editId="50AE6727">
          <wp:extent cx="1710092" cy="962660"/>
          <wp:effectExtent l="0" t="0" r="4445" b="0"/>
          <wp:docPr id="2" name="Imagen 2" descr="Z:\GABINETE TECNICO\COMITÉ PERMANENTE\XIV LEGISLATURA 2019-2023\INICIATIVAS\PPL CONJUNTA CON UP\logo_gp_2019-sin equ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ABINETE TECNICO\COMITÉ PERMANENTE\XIV LEGISLATURA 2019-2023\INICIATIVAS\PPL CONJUNTA CON UP\logo_gp_2019-sin equ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1291" cy="968964"/>
                  </a:xfrm>
                  <a:prstGeom prst="rect">
                    <a:avLst/>
                  </a:prstGeom>
                  <a:noFill/>
                  <a:ln>
                    <a:noFill/>
                  </a:ln>
                </pic:spPr>
              </pic:pic>
            </a:graphicData>
          </a:graphic>
        </wp:inline>
      </w:drawing>
    </w:r>
  </w:p>
  <w:p w:rsidR="00CA77E1" w:rsidRDefault="00CA77E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E6112"/>
    <w:multiLevelType w:val="hybridMultilevel"/>
    <w:tmpl w:val="90C435E4"/>
    <w:styleLink w:val="Nmero"/>
    <w:lvl w:ilvl="0" w:tplc="E75C4374">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41188050">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F81E387A">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tplc="EE3CF196">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BD6EB1B8">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722EE860">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tplc="4C2ED2F4">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96C23E7A">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43187A6C">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CD46180"/>
    <w:multiLevelType w:val="hybridMultilevel"/>
    <w:tmpl w:val="90C435E4"/>
    <w:numStyleLink w:val="Nmero"/>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E1"/>
    <w:rsid w:val="002F1CAF"/>
    <w:rsid w:val="004D1DB4"/>
    <w:rsid w:val="007739E8"/>
    <w:rsid w:val="0081452D"/>
    <w:rsid w:val="00AE590C"/>
    <w:rsid w:val="00B42A88"/>
    <w:rsid w:val="00CA7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416DE-F2D8-4744-B024-FE2771F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numbering" w:customStyle="1" w:styleId="Nmero">
    <w:name w:val="Número"/>
    <w:pPr>
      <w:numPr>
        <w:numId w:val="1"/>
      </w:numPr>
    </w:pPr>
  </w:style>
  <w:style w:type="paragraph" w:styleId="Encabezado">
    <w:name w:val="header"/>
    <w:basedOn w:val="Normal"/>
    <w:link w:val="EncabezadoCar"/>
    <w:uiPriority w:val="99"/>
    <w:unhideWhenUsed/>
    <w:rsid w:val="00AE590C"/>
    <w:pPr>
      <w:tabs>
        <w:tab w:val="center" w:pos="4252"/>
        <w:tab w:val="right" w:pos="8504"/>
      </w:tabs>
    </w:pPr>
  </w:style>
  <w:style w:type="character" w:customStyle="1" w:styleId="EncabezadoCar">
    <w:name w:val="Encabezado Car"/>
    <w:basedOn w:val="Fuentedeprrafopredeter"/>
    <w:link w:val="Encabezado"/>
    <w:uiPriority w:val="99"/>
    <w:rsid w:val="00AE590C"/>
    <w:rPr>
      <w:sz w:val="24"/>
      <w:szCs w:val="24"/>
      <w:lang w:val="en-US" w:eastAsia="en-US"/>
    </w:rPr>
  </w:style>
  <w:style w:type="paragraph" w:styleId="Piedepgina">
    <w:name w:val="footer"/>
    <w:basedOn w:val="Normal"/>
    <w:link w:val="PiedepginaCar"/>
    <w:uiPriority w:val="99"/>
    <w:unhideWhenUsed/>
    <w:rsid w:val="00AE590C"/>
    <w:pPr>
      <w:tabs>
        <w:tab w:val="center" w:pos="4252"/>
        <w:tab w:val="right" w:pos="8504"/>
      </w:tabs>
    </w:pPr>
  </w:style>
  <w:style w:type="character" w:customStyle="1" w:styleId="PiedepginaCar">
    <w:name w:val="Pie de página Car"/>
    <w:basedOn w:val="Fuentedeprrafopredeter"/>
    <w:link w:val="Piedepgina"/>
    <w:uiPriority w:val="99"/>
    <w:rsid w:val="00AE590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Congreso de los diputados</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Begoña Vidal Cases</dc:creator>
  <cp:lastModifiedBy>may sanchez seseña</cp:lastModifiedBy>
  <cp:revision>2</cp:revision>
  <cp:lastPrinted>2021-01-19T12:04:00Z</cp:lastPrinted>
  <dcterms:created xsi:type="dcterms:W3CDTF">2021-01-19T14:57:00Z</dcterms:created>
  <dcterms:modified xsi:type="dcterms:W3CDTF">2021-01-19T14:57:00Z</dcterms:modified>
</cp:coreProperties>
</file>